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5D9A" w14:textId="77777777" w:rsidR="00B82EA6" w:rsidRPr="008A0E23" w:rsidRDefault="00B01E42">
      <w:pPr>
        <w:rPr>
          <w:rFonts w:asciiTheme="majorHAnsi" w:hAnsiTheme="majorHAnsi" w:cstheme="majorHAnsi"/>
          <w:sz w:val="16"/>
          <w:szCs w:val="16"/>
        </w:rPr>
      </w:pPr>
      <w:r w:rsidRPr="008A0E23">
        <w:rPr>
          <w:rFonts w:asciiTheme="majorHAnsi" w:hAnsiTheme="majorHAnsi" w:cstheme="majorHAnsi"/>
          <w:sz w:val="16"/>
          <w:szCs w:val="16"/>
        </w:rPr>
        <w:t>(</w:t>
      </w:r>
      <w:r w:rsidR="009D1175" w:rsidRPr="008A0E23">
        <w:rPr>
          <w:rFonts w:asciiTheme="majorHAnsi" w:hAnsiTheme="majorHAnsi" w:cstheme="majorHAnsi"/>
          <w:sz w:val="16"/>
          <w:szCs w:val="16"/>
          <w:highlight w:val="yellow"/>
        </w:rPr>
        <w:t>Ciudad</w:t>
      </w:r>
      <w:r w:rsidRPr="008A0E23">
        <w:rPr>
          <w:rFonts w:asciiTheme="majorHAnsi" w:hAnsiTheme="majorHAnsi" w:cstheme="majorHAnsi"/>
          <w:sz w:val="16"/>
          <w:szCs w:val="16"/>
          <w:highlight w:val="yellow"/>
        </w:rPr>
        <w:t xml:space="preserve"> y fecha</w:t>
      </w:r>
      <w:r w:rsidRPr="008A0E23">
        <w:rPr>
          <w:rFonts w:asciiTheme="majorHAnsi" w:hAnsiTheme="majorHAnsi" w:cstheme="majorHAnsi"/>
          <w:sz w:val="16"/>
          <w:szCs w:val="16"/>
        </w:rPr>
        <w:t>)</w:t>
      </w:r>
    </w:p>
    <w:p w14:paraId="7E43C744" w14:textId="77777777" w:rsidR="00B01E42" w:rsidRPr="008A0E23" w:rsidRDefault="00B01E42">
      <w:pPr>
        <w:rPr>
          <w:rFonts w:asciiTheme="majorHAnsi" w:hAnsiTheme="majorHAnsi" w:cstheme="majorHAnsi"/>
          <w:sz w:val="16"/>
          <w:szCs w:val="16"/>
        </w:rPr>
      </w:pPr>
    </w:p>
    <w:p w14:paraId="09407251" w14:textId="2F22DFBA" w:rsidR="00B01E42" w:rsidRPr="008A0E23" w:rsidRDefault="00730D35" w:rsidP="00B01E42">
      <w:pPr>
        <w:spacing w:after="0" w:line="240" w:lineRule="auto"/>
        <w:rPr>
          <w:rFonts w:asciiTheme="majorHAnsi" w:hAnsiTheme="majorHAnsi" w:cstheme="majorHAnsi"/>
          <w:sz w:val="16"/>
          <w:szCs w:val="16"/>
        </w:rPr>
      </w:pPr>
      <w:r w:rsidRPr="008A0E23">
        <w:rPr>
          <w:rFonts w:asciiTheme="majorHAnsi" w:hAnsiTheme="majorHAnsi" w:cstheme="majorHAnsi"/>
          <w:sz w:val="16"/>
          <w:szCs w:val="16"/>
        </w:rPr>
        <w:t>Señor</w:t>
      </w:r>
      <w:r w:rsidR="00640858" w:rsidRPr="008A0E23">
        <w:rPr>
          <w:rFonts w:asciiTheme="majorHAnsi" w:hAnsiTheme="majorHAnsi" w:cstheme="majorHAnsi"/>
          <w:sz w:val="16"/>
          <w:szCs w:val="16"/>
        </w:rPr>
        <w:t>(</w:t>
      </w:r>
      <w:r w:rsidR="00640858" w:rsidRPr="008A0E23">
        <w:rPr>
          <w:rFonts w:asciiTheme="majorHAnsi" w:hAnsiTheme="majorHAnsi" w:cstheme="majorHAnsi"/>
          <w:sz w:val="16"/>
          <w:szCs w:val="16"/>
          <w:highlight w:val="yellow"/>
        </w:rPr>
        <w:t>a)</w:t>
      </w:r>
    </w:p>
    <w:p w14:paraId="086E5596" w14:textId="77777777" w:rsidR="00B01E42" w:rsidRPr="008A0E23" w:rsidRDefault="00B01E42" w:rsidP="00B01E42">
      <w:pPr>
        <w:spacing w:after="0" w:line="240" w:lineRule="auto"/>
        <w:rPr>
          <w:rFonts w:asciiTheme="majorHAnsi" w:hAnsiTheme="majorHAnsi" w:cstheme="majorHAnsi"/>
          <w:b/>
          <w:sz w:val="16"/>
          <w:szCs w:val="16"/>
        </w:rPr>
      </w:pPr>
      <w:r w:rsidRPr="008A0E23">
        <w:rPr>
          <w:rFonts w:asciiTheme="majorHAnsi" w:hAnsiTheme="majorHAnsi" w:cstheme="majorHAnsi"/>
          <w:b/>
          <w:sz w:val="16"/>
          <w:szCs w:val="16"/>
        </w:rPr>
        <w:t>(</w:t>
      </w:r>
      <w:r w:rsidRPr="008A0E23">
        <w:rPr>
          <w:rFonts w:asciiTheme="majorHAnsi" w:hAnsiTheme="majorHAnsi" w:cstheme="majorHAnsi"/>
          <w:b/>
          <w:sz w:val="16"/>
          <w:szCs w:val="16"/>
          <w:highlight w:val="yellow"/>
        </w:rPr>
        <w:t>Nombres y apellidos</w:t>
      </w:r>
      <w:r w:rsidR="00026D6F" w:rsidRPr="008A0E23">
        <w:rPr>
          <w:rFonts w:asciiTheme="majorHAnsi" w:hAnsiTheme="majorHAnsi" w:cstheme="majorHAnsi"/>
          <w:b/>
          <w:sz w:val="16"/>
          <w:szCs w:val="16"/>
          <w:highlight w:val="yellow"/>
        </w:rPr>
        <w:t xml:space="preserve"> del cliente</w:t>
      </w:r>
      <w:r w:rsidRPr="008A0E23">
        <w:rPr>
          <w:rFonts w:asciiTheme="majorHAnsi" w:hAnsiTheme="majorHAnsi" w:cstheme="majorHAnsi"/>
          <w:b/>
          <w:sz w:val="16"/>
          <w:szCs w:val="16"/>
        </w:rPr>
        <w:t>)</w:t>
      </w:r>
    </w:p>
    <w:p w14:paraId="0BD60BE6" w14:textId="77777777" w:rsidR="00B01E42" w:rsidRPr="008A0E23" w:rsidRDefault="00B01E42" w:rsidP="00B01E42">
      <w:pPr>
        <w:spacing w:after="0" w:line="240" w:lineRule="auto"/>
        <w:rPr>
          <w:rFonts w:asciiTheme="majorHAnsi" w:hAnsiTheme="majorHAnsi" w:cstheme="majorHAnsi"/>
          <w:sz w:val="16"/>
          <w:szCs w:val="16"/>
        </w:rPr>
      </w:pPr>
      <w:r w:rsidRPr="008A0E23">
        <w:rPr>
          <w:rFonts w:asciiTheme="majorHAnsi" w:hAnsiTheme="majorHAnsi" w:cstheme="majorHAnsi"/>
          <w:sz w:val="16"/>
          <w:szCs w:val="16"/>
        </w:rPr>
        <w:t>Ciudad</w:t>
      </w:r>
    </w:p>
    <w:p w14:paraId="2D933712" w14:textId="77777777" w:rsidR="00B01E42" w:rsidRPr="008A0E23" w:rsidRDefault="00B01E42" w:rsidP="00B01E42">
      <w:pPr>
        <w:spacing w:after="0" w:line="240" w:lineRule="auto"/>
        <w:rPr>
          <w:rFonts w:asciiTheme="majorHAnsi" w:hAnsiTheme="majorHAnsi" w:cstheme="majorHAnsi"/>
          <w:sz w:val="16"/>
          <w:szCs w:val="16"/>
        </w:rPr>
      </w:pPr>
    </w:p>
    <w:p w14:paraId="03B47014" w14:textId="20A6BB6F" w:rsidR="0097607E" w:rsidRPr="008A0E23" w:rsidRDefault="00B01E42" w:rsidP="00B01E42">
      <w:pPr>
        <w:spacing w:after="0" w:line="240" w:lineRule="auto"/>
        <w:ind w:left="708"/>
        <w:rPr>
          <w:rFonts w:asciiTheme="majorHAnsi" w:hAnsiTheme="majorHAnsi" w:cstheme="majorHAnsi"/>
          <w:b/>
          <w:sz w:val="16"/>
          <w:szCs w:val="16"/>
        </w:rPr>
      </w:pPr>
      <w:r w:rsidRPr="008A0E23">
        <w:rPr>
          <w:rFonts w:asciiTheme="majorHAnsi" w:hAnsiTheme="majorHAnsi" w:cstheme="majorHAnsi"/>
          <w:b/>
          <w:sz w:val="16"/>
          <w:szCs w:val="16"/>
        </w:rPr>
        <w:t>Asunto:</w:t>
      </w:r>
      <w:r w:rsidR="00916E9B" w:rsidRPr="008A0E23">
        <w:rPr>
          <w:rFonts w:asciiTheme="majorHAnsi" w:hAnsiTheme="majorHAnsi" w:cstheme="majorHAnsi"/>
          <w:b/>
          <w:sz w:val="16"/>
          <w:szCs w:val="16"/>
        </w:rPr>
        <w:tab/>
      </w:r>
      <w:r w:rsidRPr="008A0E23">
        <w:rPr>
          <w:rFonts w:asciiTheme="majorHAnsi" w:hAnsiTheme="majorHAnsi" w:cstheme="majorHAnsi"/>
          <w:b/>
          <w:sz w:val="16"/>
          <w:szCs w:val="16"/>
        </w:rPr>
        <w:tab/>
      </w:r>
      <w:r w:rsidR="00916E9B" w:rsidRPr="008A0E23">
        <w:rPr>
          <w:rFonts w:asciiTheme="majorHAnsi" w:hAnsiTheme="majorHAnsi" w:cstheme="majorHAnsi"/>
          <w:b/>
          <w:sz w:val="16"/>
          <w:szCs w:val="16"/>
        </w:rPr>
        <w:t xml:space="preserve">Constancia de </w:t>
      </w:r>
      <w:r w:rsidR="0097607E" w:rsidRPr="008A0E23">
        <w:rPr>
          <w:rFonts w:asciiTheme="majorHAnsi" w:hAnsiTheme="majorHAnsi" w:cstheme="majorHAnsi"/>
          <w:b/>
          <w:sz w:val="16"/>
          <w:szCs w:val="16"/>
        </w:rPr>
        <w:t xml:space="preserve">Deber </w:t>
      </w:r>
      <w:r w:rsidR="00A05AFD" w:rsidRPr="008A0E23">
        <w:rPr>
          <w:rFonts w:asciiTheme="majorHAnsi" w:hAnsiTheme="majorHAnsi" w:cstheme="majorHAnsi"/>
          <w:b/>
          <w:sz w:val="16"/>
          <w:szCs w:val="16"/>
        </w:rPr>
        <w:t xml:space="preserve">de </w:t>
      </w:r>
      <w:r w:rsidR="0097607E" w:rsidRPr="008A0E23">
        <w:rPr>
          <w:rFonts w:asciiTheme="majorHAnsi" w:hAnsiTheme="majorHAnsi" w:cstheme="majorHAnsi"/>
          <w:b/>
          <w:sz w:val="16"/>
          <w:szCs w:val="16"/>
        </w:rPr>
        <w:t>Asesoría Especial</w:t>
      </w:r>
    </w:p>
    <w:p w14:paraId="3C3C6E22" w14:textId="4C2B8387" w:rsidR="00B01E42" w:rsidRPr="008A0E23" w:rsidRDefault="00916E9B" w:rsidP="00C326F2">
      <w:pPr>
        <w:spacing w:after="0" w:line="240" w:lineRule="auto"/>
        <w:ind w:left="2124"/>
        <w:rPr>
          <w:rFonts w:asciiTheme="majorHAnsi" w:hAnsiTheme="majorHAnsi" w:cstheme="majorHAnsi"/>
          <w:b/>
          <w:sz w:val="16"/>
          <w:szCs w:val="16"/>
        </w:rPr>
      </w:pPr>
      <w:bookmarkStart w:id="0" w:name="_Hlk99014970"/>
      <w:r w:rsidRPr="008A0E23">
        <w:rPr>
          <w:rFonts w:asciiTheme="majorHAnsi" w:hAnsiTheme="majorHAnsi" w:cstheme="majorHAnsi"/>
          <w:b/>
          <w:sz w:val="16"/>
          <w:szCs w:val="16"/>
        </w:rPr>
        <w:t xml:space="preserve">Fondo de Inversión Colectiva </w:t>
      </w:r>
      <w:r w:rsidR="00E82C64" w:rsidRPr="008A0E23">
        <w:rPr>
          <w:rFonts w:asciiTheme="majorHAnsi" w:hAnsiTheme="majorHAnsi" w:cstheme="majorHAnsi"/>
          <w:b/>
          <w:sz w:val="16"/>
          <w:szCs w:val="16"/>
        </w:rPr>
        <w:t xml:space="preserve">Abierto Liquidez 1525 </w:t>
      </w:r>
      <w:r w:rsidR="00621DBB">
        <w:rPr>
          <w:rFonts w:asciiTheme="majorHAnsi" w:hAnsiTheme="majorHAnsi" w:cstheme="majorHAnsi"/>
          <w:b/>
          <w:sz w:val="16"/>
          <w:szCs w:val="16"/>
        </w:rPr>
        <w:t>Plus</w:t>
      </w:r>
    </w:p>
    <w:bookmarkEnd w:id="0"/>
    <w:p w14:paraId="7559D109" w14:textId="77777777" w:rsidR="00B01E42" w:rsidRPr="008A0E23" w:rsidRDefault="00B01E42" w:rsidP="00B01E42">
      <w:pPr>
        <w:spacing w:after="0" w:line="240" w:lineRule="auto"/>
        <w:rPr>
          <w:rFonts w:asciiTheme="majorHAnsi" w:hAnsiTheme="majorHAnsi" w:cstheme="majorHAnsi"/>
          <w:sz w:val="16"/>
          <w:szCs w:val="16"/>
        </w:rPr>
      </w:pPr>
    </w:p>
    <w:p w14:paraId="11B53970" w14:textId="703582BC" w:rsidR="00B01E42" w:rsidRPr="008A0E23" w:rsidRDefault="00B01E42" w:rsidP="00B01E42">
      <w:pPr>
        <w:spacing w:after="0" w:line="240" w:lineRule="auto"/>
        <w:rPr>
          <w:rFonts w:asciiTheme="majorHAnsi" w:hAnsiTheme="majorHAnsi" w:cstheme="majorHAnsi"/>
          <w:sz w:val="16"/>
          <w:szCs w:val="16"/>
        </w:rPr>
      </w:pPr>
      <w:r w:rsidRPr="008A0E23">
        <w:rPr>
          <w:rFonts w:asciiTheme="majorHAnsi" w:hAnsiTheme="majorHAnsi" w:cstheme="majorHAnsi"/>
          <w:sz w:val="16"/>
          <w:szCs w:val="16"/>
        </w:rPr>
        <w:t xml:space="preserve">Apreciado </w:t>
      </w:r>
      <w:r w:rsidR="00730D35" w:rsidRPr="008A0E23">
        <w:rPr>
          <w:rFonts w:asciiTheme="majorHAnsi" w:hAnsiTheme="majorHAnsi" w:cstheme="majorHAnsi"/>
          <w:sz w:val="16"/>
          <w:szCs w:val="16"/>
        </w:rPr>
        <w:t>Sr</w:t>
      </w:r>
      <w:r w:rsidR="00640858" w:rsidRPr="008A0E23">
        <w:rPr>
          <w:rFonts w:asciiTheme="majorHAnsi" w:hAnsiTheme="majorHAnsi" w:cstheme="majorHAnsi"/>
          <w:sz w:val="16"/>
          <w:szCs w:val="16"/>
          <w:highlight w:val="yellow"/>
        </w:rPr>
        <w:t>(a)</w:t>
      </w:r>
      <w:r w:rsidRPr="008A0E23">
        <w:rPr>
          <w:rFonts w:asciiTheme="majorHAnsi" w:hAnsiTheme="majorHAnsi" w:cstheme="majorHAnsi"/>
          <w:sz w:val="16"/>
          <w:szCs w:val="16"/>
          <w:highlight w:val="yellow"/>
        </w:rPr>
        <w:t>. (</w:t>
      </w:r>
      <w:r w:rsidR="009D1175" w:rsidRPr="008A0E23">
        <w:rPr>
          <w:rFonts w:asciiTheme="majorHAnsi" w:hAnsiTheme="majorHAnsi" w:cstheme="majorHAnsi"/>
          <w:sz w:val="16"/>
          <w:szCs w:val="16"/>
          <w:highlight w:val="yellow"/>
        </w:rPr>
        <w:t>Apellido</w:t>
      </w:r>
      <w:r w:rsidRPr="008A0E23">
        <w:rPr>
          <w:rFonts w:asciiTheme="majorHAnsi" w:hAnsiTheme="majorHAnsi" w:cstheme="majorHAnsi"/>
          <w:sz w:val="16"/>
          <w:szCs w:val="16"/>
        </w:rPr>
        <w:t>):</w:t>
      </w:r>
    </w:p>
    <w:p w14:paraId="70693834" w14:textId="77777777" w:rsidR="00B01E42" w:rsidRPr="008A0E23" w:rsidRDefault="00B01E42" w:rsidP="00B01E42">
      <w:pPr>
        <w:spacing w:after="0" w:line="240" w:lineRule="auto"/>
        <w:rPr>
          <w:rFonts w:asciiTheme="majorHAnsi" w:hAnsiTheme="majorHAnsi" w:cstheme="majorHAnsi"/>
          <w:sz w:val="16"/>
          <w:szCs w:val="16"/>
        </w:rPr>
      </w:pPr>
    </w:p>
    <w:p w14:paraId="0F9E1DC7" w14:textId="63B9013D" w:rsidR="00A7027E" w:rsidRPr="008A0E23" w:rsidRDefault="00B01E42" w:rsidP="00D5774E">
      <w:pPr>
        <w:spacing w:after="0" w:line="240" w:lineRule="auto"/>
        <w:jc w:val="both"/>
        <w:rPr>
          <w:rFonts w:asciiTheme="majorHAnsi" w:hAnsiTheme="majorHAnsi" w:cstheme="majorHAnsi"/>
          <w:sz w:val="16"/>
          <w:szCs w:val="16"/>
        </w:rPr>
      </w:pPr>
      <w:r w:rsidRPr="008A0E23">
        <w:rPr>
          <w:rFonts w:asciiTheme="majorHAnsi" w:hAnsiTheme="majorHAnsi" w:cstheme="majorHAnsi"/>
          <w:sz w:val="16"/>
          <w:szCs w:val="16"/>
        </w:rPr>
        <w:t>Reciba un cordial saludo</w:t>
      </w:r>
      <w:r w:rsidR="006D026D" w:rsidRPr="008A0E23">
        <w:rPr>
          <w:rFonts w:asciiTheme="majorHAnsi" w:hAnsiTheme="majorHAnsi" w:cstheme="majorHAnsi"/>
          <w:sz w:val="16"/>
          <w:szCs w:val="16"/>
        </w:rPr>
        <w:t xml:space="preserve"> de Casa de Bolsa. </w:t>
      </w:r>
      <w:r w:rsidR="004D67C2" w:rsidRPr="008A0E23">
        <w:rPr>
          <w:rFonts w:asciiTheme="majorHAnsi" w:hAnsiTheme="majorHAnsi" w:cstheme="majorHAnsi"/>
          <w:sz w:val="16"/>
          <w:szCs w:val="16"/>
        </w:rPr>
        <w:t xml:space="preserve">Con el propósito de suministrarle </w:t>
      </w:r>
      <w:r w:rsidR="00A7027E" w:rsidRPr="008A0E23">
        <w:rPr>
          <w:rFonts w:asciiTheme="majorHAnsi" w:hAnsiTheme="majorHAnsi" w:cstheme="majorHAnsi"/>
          <w:sz w:val="16"/>
          <w:szCs w:val="16"/>
        </w:rPr>
        <w:t xml:space="preserve">elementos de juicio </w:t>
      </w:r>
      <w:r w:rsidR="004D67C2" w:rsidRPr="008A0E23">
        <w:rPr>
          <w:rFonts w:asciiTheme="majorHAnsi" w:hAnsiTheme="majorHAnsi" w:cstheme="majorHAnsi"/>
          <w:sz w:val="16"/>
          <w:szCs w:val="16"/>
        </w:rPr>
        <w:t>que le permita</w:t>
      </w:r>
      <w:r w:rsidR="00A7027E" w:rsidRPr="008A0E23">
        <w:rPr>
          <w:rFonts w:asciiTheme="majorHAnsi" w:hAnsiTheme="majorHAnsi" w:cstheme="majorHAnsi"/>
          <w:sz w:val="16"/>
          <w:szCs w:val="16"/>
        </w:rPr>
        <w:t>n</w:t>
      </w:r>
      <w:r w:rsidR="004D67C2" w:rsidRPr="008A0E23">
        <w:rPr>
          <w:rFonts w:asciiTheme="majorHAnsi" w:hAnsiTheme="majorHAnsi" w:cstheme="majorHAnsi"/>
          <w:sz w:val="16"/>
          <w:szCs w:val="16"/>
        </w:rPr>
        <w:t xml:space="preserve"> </w:t>
      </w:r>
      <w:r w:rsidR="00D5774E" w:rsidRPr="008A0E23">
        <w:rPr>
          <w:rFonts w:asciiTheme="majorHAnsi" w:hAnsiTheme="majorHAnsi" w:cstheme="majorHAnsi"/>
          <w:sz w:val="16"/>
          <w:szCs w:val="16"/>
        </w:rPr>
        <w:t xml:space="preserve">definir </w:t>
      </w:r>
      <w:r w:rsidR="00A7027E" w:rsidRPr="008A0E23">
        <w:rPr>
          <w:rFonts w:asciiTheme="majorHAnsi" w:hAnsiTheme="majorHAnsi" w:cstheme="majorHAnsi"/>
          <w:sz w:val="16"/>
          <w:szCs w:val="16"/>
        </w:rPr>
        <w:t xml:space="preserve">la pertinencia de su </w:t>
      </w:r>
      <w:r w:rsidR="004D67C2" w:rsidRPr="008A0E23">
        <w:rPr>
          <w:rFonts w:asciiTheme="majorHAnsi" w:hAnsiTheme="majorHAnsi" w:cstheme="majorHAnsi"/>
          <w:sz w:val="16"/>
          <w:szCs w:val="16"/>
        </w:rPr>
        <w:t xml:space="preserve">vinculación a la </w:t>
      </w:r>
      <w:r w:rsidR="0097607E" w:rsidRPr="008A0E23">
        <w:rPr>
          <w:rFonts w:asciiTheme="majorHAnsi" w:hAnsiTheme="majorHAnsi" w:cstheme="majorHAnsi"/>
          <w:sz w:val="16"/>
          <w:szCs w:val="16"/>
        </w:rPr>
        <w:t>c</w:t>
      </w:r>
      <w:r w:rsidR="004D67C2" w:rsidRPr="008A0E23">
        <w:rPr>
          <w:rFonts w:asciiTheme="majorHAnsi" w:hAnsiTheme="majorHAnsi" w:cstheme="majorHAnsi"/>
          <w:sz w:val="16"/>
          <w:szCs w:val="16"/>
        </w:rPr>
        <w:t xml:space="preserve">uenta </w:t>
      </w:r>
      <w:r w:rsidR="0097607E" w:rsidRPr="008A0E23">
        <w:rPr>
          <w:rFonts w:asciiTheme="majorHAnsi" w:hAnsiTheme="majorHAnsi" w:cstheme="majorHAnsi"/>
          <w:sz w:val="16"/>
          <w:szCs w:val="16"/>
        </w:rPr>
        <w:t>ó</w:t>
      </w:r>
      <w:r w:rsidR="004D67C2" w:rsidRPr="008A0E23">
        <w:rPr>
          <w:rFonts w:asciiTheme="majorHAnsi" w:hAnsiTheme="majorHAnsi" w:cstheme="majorHAnsi"/>
          <w:sz w:val="16"/>
          <w:szCs w:val="16"/>
        </w:rPr>
        <w:t xml:space="preserve">mnibus </w:t>
      </w:r>
      <w:r w:rsidR="0097607E" w:rsidRPr="008A0E23">
        <w:rPr>
          <w:rFonts w:asciiTheme="majorHAnsi" w:hAnsiTheme="majorHAnsi" w:cstheme="majorHAnsi"/>
          <w:sz w:val="16"/>
          <w:szCs w:val="16"/>
        </w:rPr>
        <w:t xml:space="preserve">a través de la cual se distribuye el </w:t>
      </w:r>
      <w:r w:rsidR="0059432D" w:rsidRPr="008A0E23">
        <w:rPr>
          <w:rFonts w:asciiTheme="majorHAnsi" w:hAnsiTheme="majorHAnsi" w:cstheme="majorHAnsi"/>
          <w:bCs/>
          <w:sz w:val="16"/>
          <w:szCs w:val="16"/>
        </w:rPr>
        <w:t>Fondo de Inversión Colectiva Abierto Liquidez 1525</w:t>
      </w:r>
      <w:r w:rsidR="00621DBB">
        <w:rPr>
          <w:rFonts w:asciiTheme="majorHAnsi" w:hAnsiTheme="majorHAnsi" w:cstheme="majorHAnsi"/>
          <w:bCs/>
          <w:sz w:val="16"/>
          <w:szCs w:val="16"/>
        </w:rPr>
        <w:t xml:space="preserve"> Plus</w:t>
      </w:r>
      <w:r w:rsidR="0059432D" w:rsidRPr="008A0E23">
        <w:rPr>
          <w:rFonts w:asciiTheme="majorHAnsi" w:hAnsiTheme="majorHAnsi" w:cstheme="majorHAnsi"/>
          <w:bCs/>
          <w:sz w:val="16"/>
          <w:szCs w:val="16"/>
        </w:rPr>
        <w:t xml:space="preserve">, en adelante </w:t>
      </w:r>
      <w:r w:rsidR="0059432D" w:rsidRPr="008A0E23">
        <w:rPr>
          <w:rFonts w:asciiTheme="majorHAnsi" w:hAnsiTheme="majorHAnsi" w:cstheme="majorHAnsi"/>
          <w:bCs/>
          <w:sz w:val="16"/>
          <w:szCs w:val="16"/>
          <w:u w:val="single"/>
        </w:rPr>
        <w:t>El Fondo 1525</w:t>
      </w:r>
      <w:r w:rsidR="00621DBB">
        <w:rPr>
          <w:rFonts w:asciiTheme="majorHAnsi" w:hAnsiTheme="majorHAnsi" w:cstheme="majorHAnsi"/>
          <w:bCs/>
          <w:sz w:val="16"/>
          <w:szCs w:val="16"/>
          <w:u w:val="single"/>
        </w:rPr>
        <w:t xml:space="preserve"> Plus</w:t>
      </w:r>
      <w:r w:rsidR="00D5774E" w:rsidRPr="008A0E23">
        <w:rPr>
          <w:rFonts w:asciiTheme="majorHAnsi" w:hAnsiTheme="majorHAnsi" w:cstheme="majorHAnsi"/>
          <w:sz w:val="16"/>
          <w:szCs w:val="16"/>
        </w:rPr>
        <w:t xml:space="preserve">, </w:t>
      </w:r>
      <w:r w:rsidR="00A7027E" w:rsidRPr="008A0E23">
        <w:rPr>
          <w:rFonts w:asciiTheme="majorHAnsi" w:hAnsiTheme="majorHAnsi" w:cstheme="majorHAnsi"/>
          <w:sz w:val="16"/>
          <w:szCs w:val="16"/>
        </w:rPr>
        <w:t>de manera atenta dejamos a su consideración la siguiente información:</w:t>
      </w:r>
    </w:p>
    <w:p w14:paraId="3FE90A93" w14:textId="77777777" w:rsidR="00A7027E" w:rsidRPr="008A0E23" w:rsidRDefault="00A7027E" w:rsidP="00640858">
      <w:pPr>
        <w:spacing w:after="0" w:line="240" w:lineRule="auto"/>
        <w:jc w:val="both"/>
        <w:rPr>
          <w:rFonts w:asciiTheme="majorHAnsi" w:hAnsiTheme="majorHAnsi" w:cstheme="majorHAnsi"/>
          <w:sz w:val="16"/>
          <w:szCs w:val="16"/>
        </w:rPr>
      </w:pPr>
    </w:p>
    <w:p w14:paraId="6A47747A" w14:textId="77777777" w:rsidR="004D67C2" w:rsidRPr="008A0E23" w:rsidRDefault="00946A16" w:rsidP="00A7027E">
      <w:pPr>
        <w:pStyle w:val="Prrafodelista"/>
        <w:numPr>
          <w:ilvl w:val="0"/>
          <w:numId w:val="1"/>
        </w:numPr>
        <w:spacing w:after="0" w:line="240" w:lineRule="auto"/>
        <w:jc w:val="both"/>
        <w:rPr>
          <w:rFonts w:asciiTheme="majorHAnsi" w:hAnsiTheme="majorHAnsi" w:cstheme="majorHAnsi"/>
          <w:b/>
          <w:sz w:val="16"/>
          <w:szCs w:val="16"/>
        </w:rPr>
      </w:pPr>
      <w:r w:rsidRPr="008A0E23">
        <w:rPr>
          <w:rFonts w:asciiTheme="majorHAnsi" w:hAnsiTheme="majorHAnsi" w:cstheme="majorHAnsi"/>
          <w:b/>
          <w:sz w:val="16"/>
          <w:szCs w:val="16"/>
          <w:u w:val="single"/>
        </w:rPr>
        <w:t xml:space="preserve">La </w:t>
      </w:r>
      <w:r w:rsidR="00A7027E" w:rsidRPr="008A0E23">
        <w:rPr>
          <w:rFonts w:asciiTheme="majorHAnsi" w:hAnsiTheme="majorHAnsi" w:cstheme="majorHAnsi"/>
          <w:b/>
          <w:sz w:val="16"/>
          <w:szCs w:val="16"/>
          <w:u w:val="single"/>
        </w:rPr>
        <w:t>distribución Especializada de Fondos de Inversión Colectiva</w:t>
      </w:r>
      <w:r w:rsidR="00A7027E" w:rsidRPr="008A0E23">
        <w:rPr>
          <w:rFonts w:asciiTheme="majorHAnsi" w:hAnsiTheme="majorHAnsi" w:cstheme="majorHAnsi"/>
          <w:b/>
          <w:sz w:val="16"/>
          <w:szCs w:val="16"/>
        </w:rPr>
        <w:t>:</w:t>
      </w:r>
    </w:p>
    <w:p w14:paraId="524C6CAC" w14:textId="77777777" w:rsidR="00C03EFA" w:rsidRPr="008A0E23" w:rsidRDefault="00C03EFA" w:rsidP="00C03EFA">
      <w:pPr>
        <w:pStyle w:val="Prrafodelista"/>
        <w:spacing w:after="0" w:line="240" w:lineRule="auto"/>
        <w:jc w:val="both"/>
        <w:rPr>
          <w:rFonts w:asciiTheme="majorHAnsi" w:hAnsiTheme="majorHAnsi" w:cstheme="majorHAnsi"/>
          <w:b/>
          <w:sz w:val="16"/>
          <w:szCs w:val="16"/>
        </w:rPr>
      </w:pPr>
    </w:p>
    <w:p w14:paraId="58F1E217" w14:textId="77777777" w:rsidR="00A7027E" w:rsidRPr="008A0E23" w:rsidRDefault="00946A16" w:rsidP="00A7027E">
      <w:pPr>
        <w:spacing w:after="0" w:line="240" w:lineRule="auto"/>
        <w:jc w:val="both"/>
        <w:rPr>
          <w:rFonts w:asciiTheme="majorHAnsi" w:hAnsiTheme="majorHAnsi" w:cstheme="majorHAnsi"/>
          <w:sz w:val="16"/>
          <w:szCs w:val="16"/>
        </w:rPr>
      </w:pPr>
      <w:r w:rsidRPr="008A0E23">
        <w:rPr>
          <w:rFonts w:asciiTheme="majorHAnsi" w:hAnsiTheme="majorHAnsi" w:cstheme="majorHAnsi"/>
          <w:sz w:val="16"/>
          <w:szCs w:val="16"/>
        </w:rPr>
        <w:t xml:space="preserve">Es </w:t>
      </w:r>
      <w:r w:rsidR="00A7027E" w:rsidRPr="008A0E23">
        <w:rPr>
          <w:rFonts w:asciiTheme="majorHAnsi" w:hAnsiTheme="majorHAnsi" w:cstheme="majorHAnsi"/>
          <w:sz w:val="16"/>
          <w:szCs w:val="16"/>
        </w:rPr>
        <w:t xml:space="preserve">aquella actividad que entidades como Casa de Bolsa S.A. se encuentran autorizadas a desarrollar </w:t>
      </w:r>
      <w:r w:rsidR="00D5774E" w:rsidRPr="008A0E23">
        <w:rPr>
          <w:rFonts w:asciiTheme="majorHAnsi" w:hAnsiTheme="majorHAnsi" w:cstheme="majorHAnsi"/>
          <w:sz w:val="16"/>
          <w:szCs w:val="16"/>
        </w:rPr>
        <w:t xml:space="preserve">a través de cuentas ómnibus, </w:t>
      </w:r>
      <w:r w:rsidR="00A7027E" w:rsidRPr="008A0E23">
        <w:rPr>
          <w:rFonts w:asciiTheme="majorHAnsi" w:hAnsiTheme="majorHAnsi" w:cstheme="majorHAnsi"/>
          <w:sz w:val="16"/>
          <w:szCs w:val="16"/>
        </w:rPr>
        <w:t xml:space="preserve">con el fin de </w:t>
      </w:r>
      <w:r w:rsidR="00D5774E" w:rsidRPr="008A0E23">
        <w:rPr>
          <w:rFonts w:asciiTheme="majorHAnsi" w:hAnsiTheme="majorHAnsi" w:cstheme="majorHAnsi"/>
          <w:sz w:val="16"/>
          <w:szCs w:val="16"/>
        </w:rPr>
        <w:t xml:space="preserve">distribuir </w:t>
      </w:r>
      <w:r w:rsidR="00A7027E" w:rsidRPr="008A0E23">
        <w:rPr>
          <w:rFonts w:asciiTheme="majorHAnsi" w:hAnsiTheme="majorHAnsi" w:cstheme="majorHAnsi"/>
          <w:sz w:val="16"/>
          <w:szCs w:val="16"/>
        </w:rPr>
        <w:t xml:space="preserve">fondos de inversión </w:t>
      </w:r>
      <w:r w:rsidR="00D5774E" w:rsidRPr="008A0E23">
        <w:rPr>
          <w:rFonts w:asciiTheme="majorHAnsi" w:hAnsiTheme="majorHAnsi" w:cstheme="majorHAnsi"/>
          <w:sz w:val="16"/>
          <w:szCs w:val="16"/>
        </w:rPr>
        <w:t xml:space="preserve">colectiva </w:t>
      </w:r>
      <w:r w:rsidR="0097607E" w:rsidRPr="008A0E23">
        <w:rPr>
          <w:rFonts w:asciiTheme="majorHAnsi" w:hAnsiTheme="majorHAnsi" w:cstheme="majorHAnsi"/>
          <w:sz w:val="16"/>
          <w:szCs w:val="16"/>
        </w:rPr>
        <w:t xml:space="preserve">y/o fondos de capital privado </w:t>
      </w:r>
      <w:r w:rsidR="00A7027E" w:rsidRPr="008A0E23">
        <w:rPr>
          <w:rFonts w:asciiTheme="majorHAnsi" w:hAnsiTheme="majorHAnsi" w:cstheme="majorHAnsi"/>
          <w:sz w:val="16"/>
          <w:szCs w:val="16"/>
        </w:rPr>
        <w:t>administrados por otras entidades</w:t>
      </w:r>
      <w:r w:rsidR="00435E56" w:rsidRPr="008A0E23">
        <w:rPr>
          <w:rFonts w:asciiTheme="majorHAnsi" w:hAnsiTheme="majorHAnsi" w:cstheme="majorHAnsi"/>
          <w:sz w:val="16"/>
          <w:szCs w:val="16"/>
        </w:rPr>
        <w:t xml:space="preserve"> que obran como </w:t>
      </w:r>
      <w:r w:rsidR="002530EB" w:rsidRPr="008A0E23">
        <w:rPr>
          <w:rFonts w:asciiTheme="majorHAnsi" w:hAnsiTheme="majorHAnsi" w:cstheme="majorHAnsi"/>
          <w:sz w:val="16"/>
          <w:szCs w:val="16"/>
        </w:rPr>
        <w:t>sociedades administradoras de inversión</w:t>
      </w:r>
      <w:r w:rsidR="00435E56" w:rsidRPr="008A0E23">
        <w:rPr>
          <w:rFonts w:asciiTheme="majorHAnsi" w:hAnsiTheme="majorHAnsi" w:cstheme="majorHAnsi"/>
          <w:sz w:val="16"/>
          <w:szCs w:val="16"/>
        </w:rPr>
        <w:t xml:space="preserve"> del fondo distribuido.</w:t>
      </w:r>
    </w:p>
    <w:p w14:paraId="527B83DE" w14:textId="77777777" w:rsidR="00946A16" w:rsidRPr="008A0E23" w:rsidRDefault="00946A16" w:rsidP="00A7027E">
      <w:pPr>
        <w:spacing w:after="0" w:line="240" w:lineRule="auto"/>
        <w:jc w:val="both"/>
        <w:rPr>
          <w:rFonts w:asciiTheme="majorHAnsi" w:hAnsiTheme="majorHAnsi" w:cstheme="majorHAnsi"/>
          <w:sz w:val="16"/>
          <w:szCs w:val="16"/>
        </w:rPr>
      </w:pPr>
    </w:p>
    <w:p w14:paraId="677EAA9F" w14:textId="77777777" w:rsidR="00946A16" w:rsidRPr="008A0E23" w:rsidRDefault="00946A16" w:rsidP="00A7027E">
      <w:pPr>
        <w:spacing w:after="0" w:line="240" w:lineRule="auto"/>
        <w:jc w:val="both"/>
        <w:rPr>
          <w:rFonts w:asciiTheme="majorHAnsi" w:hAnsiTheme="majorHAnsi" w:cstheme="majorHAnsi"/>
          <w:sz w:val="16"/>
          <w:szCs w:val="16"/>
        </w:rPr>
      </w:pPr>
      <w:r w:rsidRPr="008A0E23">
        <w:rPr>
          <w:rFonts w:asciiTheme="majorHAnsi" w:hAnsiTheme="majorHAnsi" w:cstheme="majorHAnsi"/>
          <w:sz w:val="16"/>
          <w:szCs w:val="16"/>
        </w:rPr>
        <w:t>Casa de Bolsa ha obtenido de la Superintendencia Financiera de Colombia autorización para desarrollar la actividad de distribución especializada a través de cuentas ómnibus.</w:t>
      </w:r>
      <w:r w:rsidR="0067677A" w:rsidRPr="008A0E23">
        <w:rPr>
          <w:rFonts w:asciiTheme="majorHAnsi" w:hAnsiTheme="majorHAnsi" w:cstheme="majorHAnsi"/>
          <w:sz w:val="16"/>
          <w:szCs w:val="16"/>
        </w:rPr>
        <w:t xml:space="preserve"> El reglamento de funcionamiento para el desarrollo de dicha actividad se encuentra a </w:t>
      </w:r>
      <w:r w:rsidR="00D5774E" w:rsidRPr="008A0E23">
        <w:rPr>
          <w:rFonts w:asciiTheme="majorHAnsi" w:hAnsiTheme="majorHAnsi" w:cstheme="majorHAnsi"/>
          <w:sz w:val="16"/>
          <w:szCs w:val="16"/>
        </w:rPr>
        <w:t xml:space="preserve">su </w:t>
      </w:r>
      <w:r w:rsidR="0067677A" w:rsidRPr="008A0E23">
        <w:rPr>
          <w:rFonts w:asciiTheme="majorHAnsi" w:hAnsiTheme="majorHAnsi" w:cstheme="majorHAnsi"/>
          <w:sz w:val="16"/>
          <w:szCs w:val="16"/>
        </w:rPr>
        <w:t xml:space="preserve">disposición en la página </w:t>
      </w:r>
      <w:hyperlink r:id="rId8" w:history="1">
        <w:r w:rsidR="0067677A" w:rsidRPr="008A0E23">
          <w:rPr>
            <w:rStyle w:val="Hipervnculo"/>
            <w:rFonts w:asciiTheme="majorHAnsi" w:hAnsiTheme="majorHAnsi" w:cstheme="majorHAnsi"/>
            <w:color w:val="auto"/>
            <w:sz w:val="16"/>
            <w:szCs w:val="16"/>
          </w:rPr>
          <w:t>www.casadebolsa.com.co</w:t>
        </w:r>
      </w:hyperlink>
      <w:r w:rsidR="0067677A" w:rsidRPr="008A0E23">
        <w:rPr>
          <w:rFonts w:asciiTheme="majorHAnsi" w:hAnsiTheme="majorHAnsi" w:cstheme="majorHAnsi"/>
          <w:sz w:val="16"/>
          <w:szCs w:val="16"/>
        </w:rPr>
        <w:t>.</w:t>
      </w:r>
    </w:p>
    <w:p w14:paraId="016480D7" w14:textId="77777777" w:rsidR="00A7027E" w:rsidRPr="008A0E23" w:rsidRDefault="00A7027E" w:rsidP="00A7027E">
      <w:pPr>
        <w:spacing w:after="0" w:line="240" w:lineRule="auto"/>
        <w:jc w:val="both"/>
        <w:rPr>
          <w:rFonts w:asciiTheme="majorHAnsi" w:hAnsiTheme="majorHAnsi" w:cstheme="majorHAnsi"/>
          <w:sz w:val="16"/>
          <w:szCs w:val="16"/>
        </w:rPr>
      </w:pPr>
    </w:p>
    <w:p w14:paraId="07AF5AE0" w14:textId="77777777" w:rsidR="00A7027E" w:rsidRPr="008A0E23" w:rsidRDefault="00946A16" w:rsidP="00A7027E">
      <w:pPr>
        <w:pStyle w:val="Prrafodelista"/>
        <w:numPr>
          <w:ilvl w:val="0"/>
          <w:numId w:val="1"/>
        </w:numPr>
        <w:spacing w:after="0" w:line="240" w:lineRule="auto"/>
        <w:jc w:val="both"/>
        <w:rPr>
          <w:rFonts w:asciiTheme="majorHAnsi" w:hAnsiTheme="majorHAnsi" w:cstheme="majorHAnsi"/>
          <w:b/>
          <w:sz w:val="16"/>
          <w:szCs w:val="16"/>
        </w:rPr>
      </w:pPr>
      <w:r w:rsidRPr="008A0E23">
        <w:rPr>
          <w:rFonts w:asciiTheme="majorHAnsi" w:hAnsiTheme="majorHAnsi" w:cstheme="majorHAnsi"/>
          <w:b/>
          <w:sz w:val="16"/>
          <w:szCs w:val="16"/>
          <w:u w:val="single"/>
        </w:rPr>
        <w:t>Las Cuentas Ómnibus</w:t>
      </w:r>
      <w:r w:rsidRPr="008A0E23">
        <w:rPr>
          <w:rFonts w:asciiTheme="majorHAnsi" w:hAnsiTheme="majorHAnsi" w:cstheme="majorHAnsi"/>
          <w:b/>
          <w:sz w:val="16"/>
          <w:szCs w:val="16"/>
        </w:rPr>
        <w:t xml:space="preserve">: </w:t>
      </w:r>
    </w:p>
    <w:p w14:paraId="6D3E01A4" w14:textId="77777777" w:rsidR="00C03EFA" w:rsidRPr="008A0E23" w:rsidRDefault="00C03EFA" w:rsidP="00C03EFA">
      <w:pPr>
        <w:pStyle w:val="Prrafodelista"/>
        <w:spacing w:after="0" w:line="240" w:lineRule="auto"/>
        <w:jc w:val="both"/>
        <w:rPr>
          <w:rFonts w:asciiTheme="majorHAnsi" w:hAnsiTheme="majorHAnsi" w:cstheme="majorHAnsi"/>
          <w:b/>
          <w:sz w:val="16"/>
          <w:szCs w:val="16"/>
        </w:rPr>
      </w:pPr>
    </w:p>
    <w:p w14:paraId="7ED1D3BE" w14:textId="77777777" w:rsidR="00211BB6" w:rsidRPr="008A0E23" w:rsidRDefault="00946A16" w:rsidP="00211BB6">
      <w:pPr>
        <w:spacing w:after="0" w:line="240" w:lineRule="auto"/>
        <w:jc w:val="both"/>
        <w:rPr>
          <w:rFonts w:asciiTheme="majorHAnsi" w:hAnsiTheme="majorHAnsi" w:cstheme="majorHAnsi"/>
          <w:sz w:val="16"/>
          <w:szCs w:val="16"/>
        </w:rPr>
      </w:pPr>
      <w:r w:rsidRPr="008A0E23">
        <w:rPr>
          <w:rFonts w:asciiTheme="majorHAnsi" w:hAnsiTheme="majorHAnsi" w:cstheme="majorHAnsi"/>
          <w:sz w:val="16"/>
          <w:szCs w:val="16"/>
        </w:rPr>
        <w:t xml:space="preserve">Son vehículos de creación legal </w:t>
      </w:r>
      <w:r w:rsidR="00211BB6" w:rsidRPr="008A0E23">
        <w:rPr>
          <w:rFonts w:asciiTheme="majorHAnsi" w:hAnsiTheme="majorHAnsi" w:cstheme="majorHAnsi"/>
          <w:sz w:val="16"/>
          <w:szCs w:val="16"/>
        </w:rPr>
        <w:t xml:space="preserve">a través de los cuales se agrupan uno o más inversionistas registrados previamente y de manera individual ante el distribuidor especializado, con el fin de que éste actuando en nombre </w:t>
      </w:r>
      <w:proofErr w:type="gramStart"/>
      <w:r w:rsidR="00211BB6" w:rsidRPr="008A0E23">
        <w:rPr>
          <w:rFonts w:asciiTheme="majorHAnsi" w:hAnsiTheme="majorHAnsi" w:cstheme="majorHAnsi"/>
          <w:sz w:val="16"/>
          <w:szCs w:val="16"/>
        </w:rPr>
        <w:t>propio</w:t>
      </w:r>
      <w:proofErr w:type="gramEnd"/>
      <w:r w:rsidR="00211BB6" w:rsidRPr="008A0E23">
        <w:rPr>
          <w:rFonts w:asciiTheme="majorHAnsi" w:hAnsiTheme="majorHAnsi" w:cstheme="majorHAnsi"/>
          <w:sz w:val="16"/>
          <w:szCs w:val="16"/>
        </w:rPr>
        <w:t xml:space="preserve"> pero por cuenta de </w:t>
      </w:r>
      <w:r w:rsidR="00435E56" w:rsidRPr="008A0E23">
        <w:rPr>
          <w:rFonts w:asciiTheme="majorHAnsi" w:hAnsiTheme="majorHAnsi" w:cstheme="majorHAnsi"/>
          <w:sz w:val="16"/>
          <w:szCs w:val="16"/>
        </w:rPr>
        <w:t>los inversionistas agrupados en la</w:t>
      </w:r>
      <w:r w:rsidR="006F2850" w:rsidRPr="008A0E23">
        <w:rPr>
          <w:rFonts w:asciiTheme="majorHAnsi" w:hAnsiTheme="majorHAnsi" w:cstheme="majorHAnsi"/>
          <w:sz w:val="16"/>
          <w:szCs w:val="16"/>
        </w:rPr>
        <w:t xml:space="preserve"> cuenta</w:t>
      </w:r>
      <w:r w:rsidR="00435E56" w:rsidRPr="008A0E23">
        <w:rPr>
          <w:rFonts w:asciiTheme="majorHAnsi" w:hAnsiTheme="majorHAnsi" w:cstheme="majorHAnsi"/>
          <w:sz w:val="16"/>
          <w:szCs w:val="16"/>
        </w:rPr>
        <w:t xml:space="preserve"> ómnibus</w:t>
      </w:r>
      <w:r w:rsidR="00211BB6" w:rsidRPr="008A0E23">
        <w:rPr>
          <w:rFonts w:asciiTheme="majorHAnsi" w:hAnsiTheme="majorHAnsi" w:cstheme="majorHAnsi"/>
          <w:sz w:val="16"/>
          <w:szCs w:val="16"/>
        </w:rPr>
        <w:t xml:space="preserve">, se constituya como inversionista </w:t>
      </w:r>
      <w:r w:rsidR="002530EB" w:rsidRPr="008A0E23">
        <w:rPr>
          <w:rFonts w:asciiTheme="majorHAnsi" w:hAnsiTheme="majorHAnsi" w:cstheme="majorHAnsi"/>
          <w:sz w:val="16"/>
          <w:szCs w:val="16"/>
        </w:rPr>
        <w:t xml:space="preserve">del </w:t>
      </w:r>
      <w:r w:rsidR="00211BB6" w:rsidRPr="008A0E23">
        <w:rPr>
          <w:rFonts w:asciiTheme="majorHAnsi" w:hAnsiTheme="majorHAnsi" w:cstheme="majorHAnsi"/>
          <w:sz w:val="16"/>
          <w:szCs w:val="16"/>
        </w:rPr>
        <w:t xml:space="preserve">fondo distribuido a través de </w:t>
      </w:r>
      <w:r w:rsidR="00D5774E" w:rsidRPr="008A0E23">
        <w:rPr>
          <w:rFonts w:asciiTheme="majorHAnsi" w:hAnsiTheme="majorHAnsi" w:cstheme="majorHAnsi"/>
          <w:sz w:val="16"/>
          <w:szCs w:val="16"/>
        </w:rPr>
        <w:t>una cuenta ómnibus</w:t>
      </w:r>
      <w:r w:rsidR="00211BB6" w:rsidRPr="008A0E23">
        <w:rPr>
          <w:rFonts w:asciiTheme="majorHAnsi" w:hAnsiTheme="majorHAnsi" w:cstheme="majorHAnsi"/>
          <w:sz w:val="16"/>
          <w:szCs w:val="16"/>
        </w:rPr>
        <w:t xml:space="preserve">. </w:t>
      </w:r>
    </w:p>
    <w:p w14:paraId="52B51C7B" w14:textId="77777777" w:rsidR="00211BB6" w:rsidRPr="008A0E23" w:rsidRDefault="00211BB6" w:rsidP="00211BB6">
      <w:pPr>
        <w:spacing w:after="0" w:line="240" w:lineRule="auto"/>
        <w:jc w:val="both"/>
        <w:rPr>
          <w:rFonts w:asciiTheme="majorHAnsi" w:hAnsiTheme="majorHAnsi" w:cstheme="majorHAnsi"/>
          <w:sz w:val="16"/>
          <w:szCs w:val="16"/>
        </w:rPr>
      </w:pPr>
    </w:p>
    <w:p w14:paraId="09126949" w14:textId="4C605531" w:rsidR="00F3452C" w:rsidRPr="008A0E23" w:rsidRDefault="0067677A" w:rsidP="00211BB6">
      <w:pPr>
        <w:spacing w:after="0" w:line="240" w:lineRule="auto"/>
        <w:jc w:val="both"/>
        <w:rPr>
          <w:rFonts w:asciiTheme="majorHAnsi" w:hAnsiTheme="majorHAnsi" w:cstheme="majorHAnsi"/>
          <w:sz w:val="16"/>
          <w:szCs w:val="16"/>
        </w:rPr>
      </w:pPr>
      <w:r w:rsidRPr="008A0E23">
        <w:rPr>
          <w:rFonts w:asciiTheme="majorHAnsi" w:hAnsiTheme="majorHAnsi" w:cstheme="majorHAnsi"/>
          <w:sz w:val="16"/>
          <w:szCs w:val="16"/>
        </w:rPr>
        <w:t xml:space="preserve">En virtud del convenio de distribución suscrito con la Fiduciaria </w:t>
      </w:r>
      <w:r w:rsidR="0059432D" w:rsidRPr="008A0E23">
        <w:rPr>
          <w:rFonts w:asciiTheme="majorHAnsi" w:hAnsiTheme="majorHAnsi" w:cstheme="majorHAnsi"/>
          <w:sz w:val="16"/>
          <w:szCs w:val="16"/>
        </w:rPr>
        <w:t>Corficolombiana</w:t>
      </w:r>
      <w:r w:rsidR="00D86C9C" w:rsidRPr="008A0E23">
        <w:rPr>
          <w:rFonts w:asciiTheme="majorHAnsi" w:hAnsiTheme="majorHAnsi" w:cstheme="majorHAnsi"/>
          <w:sz w:val="16"/>
          <w:szCs w:val="16"/>
        </w:rPr>
        <w:t>, como administradora del</w:t>
      </w:r>
      <w:r w:rsidR="00435E56" w:rsidRPr="008A0E23">
        <w:rPr>
          <w:rFonts w:asciiTheme="majorHAnsi" w:hAnsiTheme="majorHAnsi" w:cstheme="majorHAnsi"/>
          <w:sz w:val="16"/>
          <w:szCs w:val="16"/>
        </w:rPr>
        <w:t xml:space="preserve"> </w:t>
      </w:r>
      <w:r w:rsidR="00903E9C" w:rsidRPr="008A0E23">
        <w:rPr>
          <w:rFonts w:asciiTheme="majorHAnsi" w:hAnsiTheme="majorHAnsi" w:cstheme="majorHAnsi"/>
          <w:sz w:val="16"/>
          <w:szCs w:val="16"/>
          <w:u w:val="single"/>
        </w:rPr>
        <w:t xml:space="preserve">El </w:t>
      </w:r>
      <w:r w:rsidR="0059432D" w:rsidRPr="008A0E23">
        <w:rPr>
          <w:rFonts w:asciiTheme="majorHAnsi" w:hAnsiTheme="majorHAnsi" w:cstheme="majorHAnsi"/>
          <w:sz w:val="16"/>
          <w:szCs w:val="16"/>
          <w:u w:val="single"/>
        </w:rPr>
        <w:t>Fondo 1525</w:t>
      </w:r>
      <w:r w:rsidR="00621DBB">
        <w:rPr>
          <w:rFonts w:asciiTheme="majorHAnsi" w:hAnsiTheme="majorHAnsi" w:cstheme="majorHAnsi"/>
          <w:sz w:val="16"/>
          <w:szCs w:val="16"/>
          <w:u w:val="single"/>
        </w:rPr>
        <w:t xml:space="preserve"> Plus</w:t>
      </w:r>
      <w:r w:rsidR="00435E56" w:rsidRPr="008A0E23">
        <w:rPr>
          <w:rFonts w:asciiTheme="majorHAnsi" w:hAnsiTheme="majorHAnsi" w:cstheme="majorHAnsi"/>
          <w:sz w:val="16"/>
          <w:szCs w:val="16"/>
        </w:rPr>
        <w:t xml:space="preserve">, </w:t>
      </w:r>
      <w:r w:rsidRPr="008A0E23">
        <w:rPr>
          <w:rFonts w:asciiTheme="majorHAnsi" w:hAnsiTheme="majorHAnsi" w:cstheme="majorHAnsi"/>
          <w:sz w:val="16"/>
          <w:szCs w:val="16"/>
        </w:rPr>
        <w:t xml:space="preserve">Casa de Bolsa S.A. ha creado </w:t>
      </w:r>
      <w:r w:rsidR="00D5774E" w:rsidRPr="008A0E23">
        <w:rPr>
          <w:rFonts w:asciiTheme="majorHAnsi" w:hAnsiTheme="majorHAnsi" w:cstheme="majorHAnsi"/>
          <w:sz w:val="16"/>
          <w:szCs w:val="16"/>
        </w:rPr>
        <w:t xml:space="preserve">la </w:t>
      </w:r>
      <w:r w:rsidR="00D5774E" w:rsidRPr="008A0E23">
        <w:rPr>
          <w:rFonts w:asciiTheme="majorHAnsi" w:hAnsiTheme="majorHAnsi" w:cstheme="majorHAnsi"/>
          <w:bCs/>
          <w:sz w:val="16"/>
          <w:szCs w:val="16"/>
          <w:u w:val="single"/>
        </w:rPr>
        <w:t>C</w:t>
      </w:r>
      <w:r w:rsidRPr="008A0E23">
        <w:rPr>
          <w:rFonts w:asciiTheme="majorHAnsi" w:hAnsiTheme="majorHAnsi" w:cstheme="majorHAnsi"/>
          <w:bCs/>
          <w:sz w:val="16"/>
          <w:szCs w:val="16"/>
          <w:u w:val="single"/>
        </w:rPr>
        <w:t xml:space="preserve">uenta </w:t>
      </w:r>
      <w:r w:rsidR="00D5774E" w:rsidRPr="008A0E23">
        <w:rPr>
          <w:rFonts w:asciiTheme="majorHAnsi" w:hAnsiTheme="majorHAnsi" w:cstheme="majorHAnsi"/>
          <w:bCs/>
          <w:sz w:val="16"/>
          <w:szCs w:val="16"/>
          <w:u w:val="single"/>
        </w:rPr>
        <w:t>Ó</w:t>
      </w:r>
      <w:r w:rsidRPr="008A0E23">
        <w:rPr>
          <w:rFonts w:asciiTheme="majorHAnsi" w:hAnsiTheme="majorHAnsi" w:cstheme="majorHAnsi"/>
          <w:bCs/>
          <w:sz w:val="16"/>
          <w:szCs w:val="16"/>
          <w:u w:val="single"/>
        </w:rPr>
        <w:t xml:space="preserve">mnibus </w:t>
      </w:r>
      <w:r w:rsidR="0059432D" w:rsidRPr="008A0E23">
        <w:rPr>
          <w:rFonts w:asciiTheme="majorHAnsi" w:hAnsiTheme="majorHAnsi" w:cstheme="majorHAnsi"/>
          <w:bCs/>
          <w:sz w:val="16"/>
          <w:szCs w:val="16"/>
          <w:u w:val="single"/>
        </w:rPr>
        <w:t>1525</w:t>
      </w:r>
      <w:r w:rsidR="00621DBB">
        <w:rPr>
          <w:rFonts w:asciiTheme="majorHAnsi" w:hAnsiTheme="majorHAnsi" w:cstheme="majorHAnsi"/>
          <w:bCs/>
          <w:sz w:val="16"/>
          <w:szCs w:val="16"/>
          <w:u w:val="single"/>
        </w:rPr>
        <w:t xml:space="preserve"> Plus</w:t>
      </w:r>
      <w:r w:rsidR="00D5774E" w:rsidRPr="008A0E23">
        <w:rPr>
          <w:rFonts w:asciiTheme="majorHAnsi" w:hAnsiTheme="majorHAnsi" w:cstheme="majorHAnsi"/>
          <w:sz w:val="16"/>
          <w:szCs w:val="16"/>
        </w:rPr>
        <w:t xml:space="preserve"> </w:t>
      </w:r>
      <w:r w:rsidRPr="008A0E23">
        <w:rPr>
          <w:rFonts w:asciiTheme="majorHAnsi" w:hAnsiTheme="majorHAnsi" w:cstheme="majorHAnsi"/>
          <w:sz w:val="16"/>
          <w:szCs w:val="16"/>
        </w:rPr>
        <w:t xml:space="preserve">a través de la cual </w:t>
      </w:r>
      <w:r w:rsidR="00435E56" w:rsidRPr="008A0E23">
        <w:rPr>
          <w:rFonts w:asciiTheme="majorHAnsi" w:hAnsiTheme="majorHAnsi" w:cstheme="majorHAnsi"/>
          <w:sz w:val="16"/>
          <w:szCs w:val="16"/>
        </w:rPr>
        <w:t xml:space="preserve">se </w:t>
      </w:r>
      <w:r w:rsidR="00916E9B" w:rsidRPr="008A0E23">
        <w:rPr>
          <w:rFonts w:asciiTheme="majorHAnsi" w:hAnsiTheme="majorHAnsi" w:cstheme="majorHAnsi"/>
          <w:sz w:val="16"/>
          <w:szCs w:val="16"/>
        </w:rPr>
        <w:t>distribuye dicho fondo</w:t>
      </w:r>
      <w:r w:rsidR="00435E56" w:rsidRPr="008A0E23">
        <w:rPr>
          <w:rFonts w:asciiTheme="majorHAnsi" w:hAnsiTheme="majorHAnsi" w:cstheme="majorHAnsi"/>
          <w:sz w:val="16"/>
          <w:szCs w:val="16"/>
        </w:rPr>
        <w:t>.</w:t>
      </w:r>
    </w:p>
    <w:p w14:paraId="225DDDC1" w14:textId="4FE562FA" w:rsidR="00211BB6" w:rsidRPr="008A0E23" w:rsidRDefault="00211BB6" w:rsidP="00CE3749">
      <w:pPr>
        <w:spacing w:after="0" w:line="240" w:lineRule="auto"/>
        <w:jc w:val="both"/>
        <w:rPr>
          <w:rFonts w:asciiTheme="majorHAnsi" w:hAnsiTheme="majorHAnsi" w:cstheme="majorHAnsi"/>
          <w:sz w:val="16"/>
          <w:szCs w:val="16"/>
        </w:rPr>
      </w:pPr>
    </w:p>
    <w:p w14:paraId="2E12F440" w14:textId="59B7E4FC" w:rsidR="00730D35" w:rsidRPr="008A0E23" w:rsidRDefault="00730D35" w:rsidP="00CE3749">
      <w:pPr>
        <w:spacing w:after="0" w:line="240" w:lineRule="auto"/>
        <w:jc w:val="both"/>
        <w:rPr>
          <w:rFonts w:asciiTheme="majorHAnsi" w:hAnsiTheme="majorHAnsi" w:cstheme="majorHAnsi"/>
          <w:sz w:val="16"/>
          <w:szCs w:val="16"/>
        </w:rPr>
      </w:pPr>
    </w:p>
    <w:p w14:paraId="0610EC7D" w14:textId="77777777" w:rsidR="0067677A" w:rsidRPr="008A0E23" w:rsidRDefault="00D5774E" w:rsidP="0067677A">
      <w:pPr>
        <w:pStyle w:val="Prrafodelista"/>
        <w:numPr>
          <w:ilvl w:val="0"/>
          <w:numId w:val="1"/>
        </w:numPr>
        <w:spacing w:after="0" w:line="240" w:lineRule="auto"/>
        <w:jc w:val="both"/>
        <w:rPr>
          <w:rFonts w:asciiTheme="majorHAnsi" w:hAnsiTheme="majorHAnsi" w:cstheme="majorHAnsi"/>
          <w:b/>
          <w:sz w:val="16"/>
          <w:szCs w:val="16"/>
        </w:rPr>
      </w:pPr>
      <w:r w:rsidRPr="008A0E23">
        <w:rPr>
          <w:rFonts w:asciiTheme="majorHAnsi" w:hAnsiTheme="majorHAnsi" w:cstheme="majorHAnsi"/>
          <w:b/>
          <w:sz w:val="16"/>
          <w:szCs w:val="16"/>
          <w:u w:val="single"/>
        </w:rPr>
        <w:t>Diferencia</w:t>
      </w:r>
      <w:r w:rsidR="00800BD7" w:rsidRPr="008A0E23">
        <w:rPr>
          <w:rFonts w:asciiTheme="majorHAnsi" w:hAnsiTheme="majorHAnsi" w:cstheme="majorHAnsi"/>
          <w:b/>
          <w:sz w:val="16"/>
          <w:szCs w:val="16"/>
          <w:u w:val="single"/>
        </w:rPr>
        <w:t>s</w:t>
      </w:r>
      <w:r w:rsidRPr="008A0E23">
        <w:rPr>
          <w:rFonts w:asciiTheme="majorHAnsi" w:hAnsiTheme="majorHAnsi" w:cstheme="majorHAnsi"/>
          <w:b/>
          <w:sz w:val="16"/>
          <w:szCs w:val="16"/>
          <w:u w:val="single"/>
        </w:rPr>
        <w:t xml:space="preserve"> entre la Sociedad Administradora y el Distribuidor Especializado:</w:t>
      </w:r>
    </w:p>
    <w:p w14:paraId="524D33CD" w14:textId="77777777" w:rsidR="00F3452C" w:rsidRPr="008A0E23" w:rsidRDefault="00F3452C" w:rsidP="00F3452C">
      <w:pPr>
        <w:pStyle w:val="Prrafodelista"/>
        <w:spacing w:after="0" w:line="240" w:lineRule="auto"/>
        <w:jc w:val="both"/>
        <w:rPr>
          <w:rFonts w:asciiTheme="majorHAnsi" w:hAnsiTheme="majorHAnsi" w:cstheme="majorHAnsi"/>
          <w:b/>
          <w:sz w:val="16"/>
          <w:szCs w:val="16"/>
        </w:rPr>
      </w:pPr>
    </w:p>
    <w:p w14:paraId="76C928BE" w14:textId="77777777" w:rsidR="005975DB" w:rsidRPr="008A0E23" w:rsidRDefault="00F83495" w:rsidP="00D5774E">
      <w:pPr>
        <w:spacing w:after="0" w:line="240" w:lineRule="auto"/>
        <w:jc w:val="both"/>
        <w:rPr>
          <w:rFonts w:asciiTheme="majorHAnsi" w:hAnsiTheme="majorHAnsi" w:cstheme="majorHAnsi"/>
          <w:sz w:val="16"/>
          <w:szCs w:val="16"/>
        </w:rPr>
      </w:pPr>
      <w:r w:rsidRPr="008A0E23">
        <w:rPr>
          <w:rFonts w:asciiTheme="majorHAnsi" w:hAnsiTheme="majorHAnsi" w:cstheme="majorHAnsi"/>
          <w:sz w:val="16"/>
          <w:szCs w:val="16"/>
        </w:rPr>
        <w:t xml:space="preserve">La </w:t>
      </w:r>
      <w:r w:rsidR="00D5774E" w:rsidRPr="008A0E23">
        <w:rPr>
          <w:rFonts w:asciiTheme="majorHAnsi" w:hAnsiTheme="majorHAnsi" w:cstheme="majorHAnsi"/>
          <w:sz w:val="16"/>
          <w:szCs w:val="16"/>
        </w:rPr>
        <w:t xml:space="preserve">sociedad administradora </w:t>
      </w:r>
      <w:r w:rsidR="007125F7" w:rsidRPr="008A0E23">
        <w:rPr>
          <w:rFonts w:asciiTheme="majorHAnsi" w:hAnsiTheme="majorHAnsi" w:cstheme="majorHAnsi"/>
          <w:sz w:val="16"/>
          <w:szCs w:val="16"/>
        </w:rPr>
        <w:t>y el distribuidor especializado son dos entidades diferentes e independientes</w:t>
      </w:r>
      <w:r w:rsidR="006050AD" w:rsidRPr="008A0E23">
        <w:rPr>
          <w:rFonts w:asciiTheme="majorHAnsi" w:hAnsiTheme="majorHAnsi" w:cstheme="majorHAnsi"/>
          <w:sz w:val="16"/>
          <w:szCs w:val="16"/>
        </w:rPr>
        <w:t xml:space="preserve"> que cumplen roles diferentes</w:t>
      </w:r>
      <w:r w:rsidR="00800BD7" w:rsidRPr="008A0E23">
        <w:rPr>
          <w:rFonts w:asciiTheme="majorHAnsi" w:hAnsiTheme="majorHAnsi" w:cstheme="majorHAnsi"/>
          <w:sz w:val="16"/>
          <w:szCs w:val="16"/>
        </w:rPr>
        <w:t>. A continuación, dejamos a su consideración algunas de las diferencias que se presentan en el rol que están llamadas a desempeñar dichas sociedades:</w:t>
      </w:r>
    </w:p>
    <w:p w14:paraId="1E2D0918" w14:textId="77777777" w:rsidR="006050AD" w:rsidRPr="008A0E23" w:rsidRDefault="006050AD" w:rsidP="00D5774E">
      <w:pPr>
        <w:spacing w:after="0" w:line="240" w:lineRule="auto"/>
        <w:jc w:val="both"/>
        <w:rPr>
          <w:rFonts w:asciiTheme="majorHAnsi" w:hAnsiTheme="majorHAnsi" w:cstheme="majorHAnsi"/>
          <w:sz w:val="16"/>
          <w:szCs w:val="16"/>
        </w:rPr>
      </w:pPr>
    </w:p>
    <w:tbl>
      <w:tblPr>
        <w:tblStyle w:val="Tablaconcuadrcula"/>
        <w:tblW w:w="8926" w:type="dxa"/>
        <w:tblLook w:val="04A0" w:firstRow="1" w:lastRow="0" w:firstColumn="1" w:lastColumn="0" w:noHBand="0" w:noVBand="1"/>
      </w:tblPr>
      <w:tblGrid>
        <w:gridCol w:w="4272"/>
        <w:gridCol w:w="4654"/>
      </w:tblGrid>
      <w:tr w:rsidR="006050AD" w:rsidRPr="008A0E23" w14:paraId="2B1E7706" w14:textId="77777777" w:rsidTr="008719BD">
        <w:tc>
          <w:tcPr>
            <w:tcW w:w="4272" w:type="dxa"/>
            <w:shd w:val="clear" w:color="auto" w:fill="D9D9D9" w:themeFill="background1" w:themeFillShade="D9"/>
          </w:tcPr>
          <w:p w14:paraId="40C2B22A" w14:textId="77777777" w:rsidR="006050AD" w:rsidRPr="008A0E23" w:rsidRDefault="006050AD" w:rsidP="006050AD">
            <w:pPr>
              <w:jc w:val="center"/>
              <w:rPr>
                <w:rFonts w:asciiTheme="majorHAnsi" w:hAnsiTheme="majorHAnsi" w:cstheme="majorHAnsi"/>
                <w:b/>
                <w:sz w:val="16"/>
                <w:szCs w:val="16"/>
              </w:rPr>
            </w:pPr>
            <w:r w:rsidRPr="008A0E23">
              <w:rPr>
                <w:rFonts w:asciiTheme="majorHAnsi" w:hAnsiTheme="majorHAnsi" w:cstheme="majorHAnsi"/>
                <w:b/>
                <w:sz w:val="16"/>
                <w:szCs w:val="16"/>
              </w:rPr>
              <w:t>Sociedad Administradora</w:t>
            </w:r>
          </w:p>
        </w:tc>
        <w:tc>
          <w:tcPr>
            <w:tcW w:w="4654" w:type="dxa"/>
            <w:shd w:val="clear" w:color="auto" w:fill="D9D9D9" w:themeFill="background1" w:themeFillShade="D9"/>
          </w:tcPr>
          <w:p w14:paraId="0839C3F0" w14:textId="77777777" w:rsidR="006050AD" w:rsidRPr="008A0E23" w:rsidRDefault="006050AD" w:rsidP="006050AD">
            <w:pPr>
              <w:jc w:val="center"/>
              <w:rPr>
                <w:rFonts w:asciiTheme="majorHAnsi" w:hAnsiTheme="majorHAnsi" w:cstheme="majorHAnsi"/>
                <w:b/>
                <w:sz w:val="16"/>
                <w:szCs w:val="16"/>
              </w:rPr>
            </w:pPr>
            <w:r w:rsidRPr="008A0E23">
              <w:rPr>
                <w:rFonts w:asciiTheme="majorHAnsi" w:hAnsiTheme="majorHAnsi" w:cstheme="majorHAnsi"/>
                <w:b/>
                <w:sz w:val="16"/>
                <w:szCs w:val="16"/>
              </w:rPr>
              <w:t>Distribuidor Especializado</w:t>
            </w:r>
          </w:p>
        </w:tc>
      </w:tr>
      <w:tr w:rsidR="006050AD" w:rsidRPr="008A0E23" w14:paraId="05DC1722" w14:textId="77777777" w:rsidTr="008719BD">
        <w:tc>
          <w:tcPr>
            <w:tcW w:w="4272" w:type="dxa"/>
          </w:tcPr>
          <w:p w14:paraId="4AC8FACB" w14:textId="77777777" w:rsidR="006050AD" w:rsidRPr="008A0E23" w:rsidRDefault="00130F05" w:rsidP="00130F05">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 xml:space="preserve">Administra </w:t>
            </w:r>
            <w:r w:rsidR="006050AD" w:rsidRPr="008A0E23">
              <w:rPr>
                <w:rFonts w:asciiTheme="majorHAnsi" w:hAnsiTheme="majorHAnsi" w:cstheme="majorHAnsi"/>
                <w:sz w:val="16"/>
                <w:szCs w:val="16"/>
              </w:rPr>
              <w:t xml:space="preserve">el fondo de inversión </w:t>
            </w:r>
            <w:r w:rsidR="00CE3749" w:rsidRPr="008A0E23">
              <w:rPr>
                <w:rFonts w:asciiTheme="majorHAnsi" w:hAnsiTheme="majorHAnsi" w:cstheme="majorHAnsi"/>
                <w:sz w:val="16"/>
                <w:szCs w:val="16"/>
              </w:rPr>
              <w:t>colectiva y</w:t>
            </w:r>
            <w:r w:rsidRPr="008A0E23">
              <w:rPr>
                <w:rFonts w:asciiTheme="majorHAnsi" w:hAnsiTheme="majorHAnsi" w:cstheme="majorHAnsi"/>
                <w:sz w:val="16"/>
                <w:szCs w:val="16"/>
              </w:rPr>
              <w:t xml:space="preserve">/o fondo de capital privado. </w:t>
            </w:r>
            <w:r w:rsidR="0097607E" w:rsidRPr="008A0E23">
              <w:rPr>
                <w:rFonts w:asciiTheme="majorHAnsi" w:hAnsiTheme="majorHAnsi" w:cstheme="majorHAnsi"/>
                <w:sz w:val="16"/>
                <w:szCs w:val="16"/>
              </w:rPr>
              <w:t xml:space="preserve"> </w:t>
            </w:r>
          </w:p>
        </w:tc>
        <w:tc>
          <w:tcPr>
            <w:tcW w:w="4654" w:type="dxa"/>
          </w:tcPr>
          <w:p w14:paraId="1B4A20E1" w14:textId="77777777" w:rsidR="006050AD" w:rsidRPr="008A0E23" w:rsidRDefault="00FD7935" w:rsidP="00FD7935">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 xml:space="preserve">Distribuye fondos de inversión colectiva </w:t>
            </w:r>
            <w:r w:rsidR="0097607E" w:rsidRPr="008A0E23">
              <w:rPr>
                <w:rFonts w:asciiTheme="majorHAnsi" w:hAnsiTheme="majorHAnsi" w:cstheme="majorHAnsi"/>
                <w:sz w:val="16"/>
                <w:szCs w:val="16"/>
              </w:rPr>
              <w:t xml:space="preserve">y fondos de capital privado </w:t>
            </w:r>
            <w:r w:rsidRPr="008A0E23">
              <w:rPr>
                <w:rFonts w:asciiTheme="majorHAnsi" w:hAnsiTheme="majorHAnsi" w:cstheme="majorHAnsi"/>
                <w:sz w:val="16"/>
                <w:szCs w:val="16"/>
              </w:rPr>
              <w:t>de otras sociedades administradoras, en atención a los términos y condiciones previstos en el reglamento de funcionamiento del fondo comercializado.</w:t>
            </w:r>
          </w:p>
        </w:tc>
      </w:tr>
      <w:tr w:rsidR="006050AD" w:rsidRPr="008A0E23" w14:paraId="3AF73BEA" w14:textId="77777777" w:rsidTr="008719BD">
        <w:tc>
          <w:tcPr>
            <w:tcW w:w="4272" w:type="dxa"/>
          </w:tcPr>
          <w:p w14:paraId="67701A16" w14:textId="77777777" w:rsidR="006050AD" w:rsidRPr="008A0E23" w:rsidRDefault="006050AD" w:rsidP="006050AD">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Establece y controla la política de inversión del fondo</w:t>
            </w:r>
          </w:p>
        </w:tc>
        <w:tc>
          <w:tcPr>
            <w:tcW w:w="4654" w:type="dxa"/>
          </w:tcPr>
          <w:p w14:paraId="52A5BAAC" w14:textId="77777777" w:rsidR="006050AD" w:rsidRPr="008A0E23" w:rsidRDefault="00FD7935" w:rsidP="00C03EFA">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 xml:space="preserve">Consagra su actividad a la vinculación </w:t>
            </w:r>
            <w:r w:rsidR="00CE3749" w:rsidRPr="008A0E23">
              <w:rPr>
                <w:rFonts w:asciiTheme="majorHAnsi" w:hAnsiTheme="majorHAnsi" w:cstheme="majorHAnsi"/>
                <w:sz w:val="16"/>
                <w:szCs w:val="16"/>
              </w:rPr>
              <w:t>de nuevos</w:t>
            </w:r>
            <w:r w:rsidRPr="008A0E23">
              <w:rPr>
                <w:rFonts w:asciiTheme="majorHAnsi" w:hAnsiTheme="majorHAnsi" w:cstheme="majorHAnsi"/>
                <w:sz w:val="16"/>
                <w:szCs w:val="16"/>
              </w:rPr>
              <w:t xml:space="preserve"> inversionistas</w:t>
            </w:r>
            <w:r w:rsidR="00C03EFA" w:rsidRPr="008A0E23">
              <w:rPr>
                <w:rFonts w:asciiTheme="majorHAnsi" w:hAnsiTheme="majorHAnsi" w:cstheme="majorHAnsi"/>
                <w:sz w:val="16"/>
                <w:szCs w:val="16"/>
              </w:rPr>
              <w:t xml:space="preserve"> </w:t>
            </w:r>
            <w:r w:rsidRPr="008A0E23">
              <w:rPr>
                <w:rFonts w:asciiTheme="majorHAnsi" w:hAnsiTheme="majorHAnsi" w:cstheme="majorHAnsi"/>
                <w:sz w:val="16"/>
                <w:szCs w:val="16"/>
              </w:rPr>
              <w:t>a los fondos distribuidos agrupándolos a través de cuentas ómnibus.</w:t>
            </w:r>
          </w:p>
        </w:tc>
      </w:tr>
      <w:tr w:rsidR="006050AD" w:rsidRPr="008A0E23" w14:paraId="20E3292D" w14:textId="77777777" w:rsidTr="008719BD">
        <w:tc>
          <w:tcPr>
            <w:tcW w:w="4272" w:type="dxa"/>
          </w:tcPr>
          <w:p w14:paraId="39C25B45" w14:textId="77777777" w:rsidR="006050AD" w:rsidRPr="008A0E23" w:rsidRDefault="006050AD" w:rsidP="006050AD">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Valora los activos del fondo.</w:t>
            </w:r>
          </w:p>
        </w:tc>
        <w:tc>
          <w:tcPr>
            <w:tcW w:w="4654" w:type="dxa"/>
          </w:tcPr>
          <w:p w14:paraId="7034490B" w14:textId="0432C391" w:rsidR="006050AD" w:rsidRPr="008A0E23" w:rsidRDefault="00FD7935" w:rsidP="00FD7935">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 xml:space="preserve">Actuando en nombre </w:t>
            </w:r>
            <w:r w:rsidR="00730D35" w:rsidRPr="008A0E23">
              <w:rPr>
                <w:rFonts w:asciiTheme="majorHAnsi" w:hAnsiTheme="majorHAnsi" w:cstheme="majorHAnsi"/>
                <w:sz w:val="16"/>
                <w:szCs w:val="16"/>
              </w:rPr>
              <w:t>propio,</w:t>
            </w:r>
            <w:r w:rsidRPr="008A0E23">
              <w:rPr>
                <w:rFonts w:asciiTheme="majorHAnsi" w:hAnsiTheme="majorHAnsi" w:cstheme="majorHAnsi"/>
                <w:sz w:val="16"/>
                <w:szCs w:val="16"/>
              </w:rPr>
              <w:t xml:space="preserve"> pero por cuenta de los inversionistas agrupados a través de una cuenta ómnibus, se constituye por cuenta de éstos como inversionista ante los fondos distribuidos.</w:t>
            </w:r>
          </w:p>
        </w:tc>
      </w:tr>
      <w:tr w:rsidR="006050AD" w:rsidRPr="008A0E23" w14:paraId="1A597620" w14:textId="77777777" w:rsidTr="008719BD">
        <w:tc>
          <w:tcPr>
            <w:tcW w:w="4272" w:type="dxa"/>
          </w:tcPr>
          <w:p w14:paraId="45AF78B1" w14:textId="77777777" w:rsidR="006050AD" w:rsidRPr="008A0E23" w:rsidRDefault="006050AD" w:rsidP="006050AD">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Determina los gastos y comisiones a cargo del fondo.</w:t>
            </w:r>
          </w:p>
        </w:tc>
        <w:tc>
          <w:tcPr>
            <w:tcW w:w="4654" w:type="dxa"/>
          </w:tcPr>
          <w:p w14:paraId="77B5F3DE" w14:textId="77777777" w:rsidR="006050AD" w:rsidRPr="008A0E23" w:rsidRDefault="00FD7935" w:rsidP="00FD7935">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Responde por el cumplimiento del deber de asesoría especial.</w:t>
            </w:r>
          </w:p>
        </w:tc>
      </w:tr>
      <w:tr w:rsidR="006050AD" w:rsidRPr="008A0E23" w14:paraId="7DB0D5F1" w14:textId="77777777" w:rsidTr="008719BD">
        <w:tc>
          <w:tcPr>
            <w:tcW w:w="4272" w:type="dxa"/>
          </w:tcPr>
          <w:p w14:paraId="75156172" w14:textId="77777777" w:rsidR="006050AD" w:rsidRPr="008A0E23" w:rsidRDefault="00FD7935" w:rsidP="006050AD">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 xml:space="preserve">Fija </w:t>
            </w:r>
            <w:r w:rsidR="006050AD" w:rsidRPr="008A0E23">
              <w:rPr>
                <w:rFonts w:asciiTheme="majorHAnsi" w:hAnsiTheme="majorHAnsi" w:cstheme="majorHAnsi"/>
                <w:sz w:val="16"/>
                <w:szCs w:val="16"/>
              </w:rPr>
              <w:t>los límites de participación por inversionista.</w:t>
            </w:r>
          </w:p>
        </w:tc>
        <w:tc>
          <w:tcPr>
            <w:tcW w:w="4654" w:type="dxa"/>
          </w:tcPr>
          <w:p w14:paraId="5048389E" w14:textId="77777777" w:rsidR="006050AD" w:rsidRPr="008A0E23" w:rsidRDefault="009A6BAB" w:rsidP="009A6BAB">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 xml:space="preserve">Establece con </w:t>
            </w:r>
            <w:r w:rsidR="00FD7935" w:rsidRPr="008A0E23">
              <w:rPr>
                <w:rFonts w:asciiTheme="majorHAnsi" w:hAnsiTheme="majorHAnsi" w:cstheme="majorHAnsi"/>
                <w:sz w:val="16"/>
                <w:szCs w:val="16"/>
              </w:rPr>
              <w:t xml:space="preserve">los nuevos inversionistas la relación comercial y, por tanto, se encarga </w:t>
            </w:r>
            <w:r w:rsidRPr="008A0E23">
              <w:rPr>
                <w:rFonts w:asciiTheme="majorHAnsi" w:hAnsiTheme="majorHAnsi" w:cstheme="majorHAnsi"/>
                <w:sz w:val="16"/>
                <w:szCs w:val="16"/>
              </w:rPr>
              <w:t xml:space="preserve">de cumplir con las normas relacionadas con la administración del riesgo de conocimiento de cliente y lavado de activos. </w:t>
            </w:r>
          </w:p>
        </w:tc>
      </w:tr>
      <w:tr w:rsidR="006050AD" w:rsidRPr="008A0E23" w14:paraId="3B5F2664" w14:textId="77777777" w:rsidTr="008719BD">
        <w:tc>
          <w:tcPr>
            <w:tcW w:w="4272" w:type="dxa"/>
          </w:tcPr>
          <w:p w14:paraId="040C88DF" w14:textId="77777777" w:rsidR="006050AD" w:rsidRPr="008A0E23" w:rsidRDefault="00FD7935" w:rsidP="006050AD">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Señala los requisitos de redención de participaciones.</w:t>
            </w:r>
          </w:p>
        </w:tc>
        <w:tc>
          <w:tcPr>
            <w:tcW w:w="4654" w:type="dxa"/>
          </w:tcPr>
          <w:p w14:paraId="6FEB9279" w14:textId="77777777" w:rsidR="006050AD" w:rsidRPr="008A0E23" w:rsidRDefault="00130F05" w:rsidP="00C03EFA">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Representa a los inversionistas de las cuentas ómnibus ante las sociedades administradoras de los fondos distribuidos y ejerce por cuenta de éstos los derechos económicos y políticos de las participaciones realizadas.</w:t>
            </w:r>
          </w:p>
        </w:tc>
      </w:tr>
      <w:tr w:rsidR="00FD7935" w:rsidRPr="008A0E23" w14:paraId="09ECD493" w14:textId="77777777" w:rsidTr="008719BD">
        <w:tc>
          <w:tcPr>
            <w:tcW w:w="4272" w:type="dxa"/>
          </w:tcPr>
          <w:p w14:paraId="4C509CAD" w14:textId="77777777" w:rsidR="00FD7935" w:rsidRPr="008A0E23" w:rsidRDefault="00130F05" w:rsidP="00130F05">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lastRenderedPageBreak/>
              <w:t xml:space="preserve">Elabora la </w:t>
            </w:r>
            <w:r w:rsidR="00FD7935" w:rsidRPr="008A0E23">
              <w:rPr>
                <w:rFonts w:asciiTheme="majorHAnsi" w:hAnsiTheme="majorHAnsi" w:cstheme="majorHAnsi"/>
                <w:sz w:val="16"/>
                <w:szCs w:val="16"/>
              </w:rPr>
              <w:t xml:space="preserve">información </w:t>
            </w:r>
            <w:r w:rsidRPr="008A0E23">
              <w:rPr>
                <w:rFonts w:asciiTheme="majorHAnsi" w:hAnsiTheme="majorHAnsi" w:cstheme="majorHAnsi"/>
                <w:sz w:val="16"/>
                <w:szCs w:val="16"/>
              </w:rPr>
              <w:t xml:space="preserve">del fondo con destino al distribuidor. </w:t>
            </w:r>
          </w:p>
        </w:tc>
        <w:tc>
          <w:tcPr>
            <w:tcW w:w="4654" w:type="dxa"/>
          </w:tcPr>
          <w:p w14:paraId="4B97643A" w14:textId="77777777" w:rsidR="00FD7935" w:rsidRPr="008A0E23" w:rsidRDefault="00130F05" w:rsidP="00130F05">
            <w:pPr>
              <w:pStyle w:val="Prrafodelista"/>
              <w:numPr>
                <w:ilvl w:val="0"/>
                <w:numId w:val="2"/>
              </w:numPr>
              <w:jc w:val="both"/>
              <w:rPr>
                <w:rFonts w:asciiTheme="majorHAnsi" w:hAnsiTheme="majorHAnsi" w:cstheme="majorHAnsi"/>
                <w:sz w:val="16"/>
                <w:szCs w:val="16"/>
              </w:rPr>
            </w:pPr>
            <w:r w:rsidRPr="008A0E23">
              <w:rPr>
                <w:rFonts w:asciiTheme="majorHAnsi" w:hAnsiTheme="majorHAnsi" w:cstheme="majorHAnsi"/>
                <w:sz w:val="16"/>
                <w:szCs w:val="16"/>
              </w:rPr>
              <w:t>Provee a los inversionistas de las cuentas ómnibus información actualizada del fondo distribuido y de las participaciones en este constituidas.</w:t>
            </w:r>
          </w:p>
        </w:tc>
      </w:tr>
    </w:tbl>
    <w:p w14:paraId="5DA3B429" w14:textId="627C7812" w:rsidR="00CE3749" w:rsidRPr="008A0E23" w:rsidRDefault="00CE3749" w:rsidP="0067677A">
      <w:pPr>
        <w:spacing w:after="0" w:line="240" w:lineRule="auto"/>
        <w:jc w:val="both"/>
        <w:rPr>
          <w:rFonts w:asciiTheme="majorHAnsi" w:hAnsiTheme="majorHAnsi" w:cstheme="majorHAnsi"/>
          <w:sz w:val="16"/>
          <w:szCs w:val="16"/>
        </w:rPr>
      </w:pPr>
    </w:p>
    <w:p w14:paraId="019F5CCD" w14:textId="77777777" w:rsidR="00AB5236" w:rsidRPr="008A0E23" w:rsidRDefault="00AB5236" w:rsidP="0067677A">
      <w:pPr>
        <w:spacing w:after="0" w:line="240" w:lineRule="auto"/>
        <w:jc w:val="both"/>
        <w:rPr>
          <w:rFonts w:asciiTheme="majorHAnsi" w:hAnsiTheme="majorHAnsi" w:cstheme="majorHAnsi"/>
          <w:sz w:val="16"/>
          <w:szCs w:val="16"/>
        </w:rPr>
      </w:pPr>
    </w:p>
    <w:p w14:paraId="6C4381E7" w14:textId="7F5DCAB4" w:rsidR="00800BD7" w:rsidRPr="008A0E23" w:rsidRDefault="00800BD7" w:rsidP="00800BD7">
      <w:pPr>
        <w:pStyle w:val="Prrafodelista"/>
        <w:numPr>
          <w:ilvl w:val="0"/>
          <w:numId w:val="1"/>
        </w:numPr>
        <w:spacing w:after="0" w:line="240" w:lineRule="auto"/>
        <w:jc w:val="both"/>
        <w:rPr>
          <w:rFonts w:asciiTheme="majorHAnsi" w:hAnsiTheme="majorHAnsi" w:cstheme="majorHAnsi"/>
          <w:b/>
          <w:sz w:val="16"/>
          <w:szCs w:val="16"/>
        </w:rPr>
      </w:pPr>
      <w:r w:rsidRPr="008A0E23">
        <w:rPr>
          <w:rFonts w:asciiTheme="majorHAnsi" w:hAnsiTheme="majorHAnsi" w:cstheme="majorHAnsi"/>
          <w:b/>
          <w:sz w:val="16"/>
          <w:szCs w:val="16"/>
        </w:rPr>
        <w:t xml:space="preserve">Información del </w:t>
      </w:r>
      <w:r w:rsidR="0059432D" w:rsidRPr="008A0E23">
        <w:rPr>
          <w:rFonts w:asciiTheme="majorHAnsi" w:hAnsiTheme="majorHAnsi" w:cstheme="majorHAnsi"/>
          <w:b/>
          <w:sz w:val="16"/>
          <w:szCs w:val="16"/>
        </w:rPr>
        <w:t>Fondo de Inversión Colectiva Abierto Liquidez 1525</w:t>
      </w:r>
      <w:r w:rsidR="00621DBB">
        <w:rPr>
          <w:rFonts w:asciiTheme="majorHAnsi" w:hAnsiTheme="majorHAnsi" w:cstheme="majorHAnsi"/>
          <w:b/>
          <w:sz w:val="16"/>
          <w:szCs w:val="16"/>
        </w:rPr>
        <w:t xml:space="preserve"> Plus</w:t>
      </w:r>
      <w:r w:rsidRPr="008A0E23">
        <w:rPr>
          <w:rFonts w:asciiTheme="majorHAnsi" w:hAnsiTheme="majorHAnsi" w:cstheme="majorHAnsi"/>
          <w:b/>
          <w:sz w:val="16"/>
          <w:szCs w:val="16"/>
        </w:rPr>
        <w:t>:</w:t>
      </w:r>
    </w:p>
    <w:p w14:paraId="74DB622B" w14:textId="77777777" w:rsidR="008952EC" w:rsidRPr="008A0E23" w:rsidRDefault="008952EC" w:rsidP="00800BD7">
      <w:pPr>
        <w:tabs>
          <w:tab w:val="left" w:pos="0"/>
        </w:tabs>
        <w:spacing w:after="0" w:line="240" w:lineRule="auto"/>
        <w:ind w:right="51"/>
        <w:jc w:val="both"/>
        <w:rPr>
          <w:rFonts w:asciiTheme="majorHAnsi" w:hAnsiTheme="majorHAnsi" w:cstheme="majorHAnsi"/>
          <w:spacing w:val="-3"/>
          <w:sz w:val="16"/>
          <w:szCs w:val="16"/>
        </w:rPr>
      </w:pPr>
    </w:p>
    <w:p w14:paraId="1F51F127" w14:textId="60507DA3" w:rsidR="00CE3749" w:rsidRPr="008A0E23" w:rsidRDefault="00130F05" w:rsidP="00800BD7">
      <w:pPr>
        <w:tabs>
          <w:tab w:val="left" w:pos="0"/>
        </w:tabs>
        <w:spacing w:after="0" w:line="240" w:lineRule="auto"/>
        <w:ind w:right="51"/>
        <w:jc w:val="both"/>
        <w:rPr>
          <w:rFonts w:asciiTheme="majorHAnsi" w:hAnsiTheme="majorHAnsi" w:cstheme="majorHAnsi"/>
          <w:spacing w:val="-3"/>
          <w:sz w:val="16"/>
          <w:szCs w:val="16"/>
        </w:rPr>
      </w:pPr>
      <w:r w:rsidRPr="008A0E23">
        <w:rPr>
          <w:rFonts w:asciiTheme="majorHAnsi" w:hAnsiTheme="majorHAnsi" w:cstheme="majorHAnsi"/>
          <w:spacing w:val="-3"/>
          <w:sz w:val="16"/>
          <w:szCs w:val="16"/>
        </w:rPr>
        <w:t xml:space="preserve">Con el propósito de suministrarle elementos de juicio que le permitan tomar una decisión de inversión fundamentada, dejamos </w:t>
      </w:r>
      <w:r w:rsidR="00800BD7" w:rsidRPr="008A0E23">
        <w:rPr>
          <w:rFonts w:asciiTheme="majorHAnsi" w:hAnsiTheme="majorHAnsi" w:cstheme="majorHAnsi"/>
          <w:spacing w:val="-3"/>
          <w:sz w:val="16"/>
          <w:szCs w:val="16"/>
        </w:rPr>
        <w:t>a su consideración la siguiente información</w:t>
      </w:r>
      <w:r w:rsidRPr="008A0E23">
        <w:rPr>
          <w:rFonts w:asciiTheme="majorHAnsi" w:hAnsiTheme="majorHAnsi" w:cstheme="majorHAnsi"/>
          <w:spacing w:val="-3"/>
          <w:sz w:val="16"/>
          <w:szCs w:val="16"/>
        </w:rPr>
        <w:t xml:space="preserve"> de</w:t>
      </w:r>
      <w:r w:rsidR="0059432D" w:rsidRPr="008A0E23">
        <w:rPr>
          <w:rFonts w:asciiTheme="majorHAnsi" w:hAnsiTheme="majorHAnsi" w:cstheme="majorHAnsi"/>
          <w:spacing w:val="-3"/>
          <w:sz w:val="16"/>
          <w:szCs w:val="16"/>
        </w:rPr>
        <w:t xml:space="preserve"> </w:t>
      </w:r>
      <w:r w:rsidR="0059432D" w:rsidRPr="008A0E23">
        <w:rPr>
          <w:rFonts w:asciiTheme="majorHAnsi" w:hAnsiTheme="majorHAnsi" w:cstheme="majorHAnsi"/>
          <w:spacing w:val="-3"/>
          <w:sz w:val="16"/>
          <w:szCs w:val="16"/>
          <w:u w:val="single"/>
        </w:rPr>
        <w:t>El Fondo 1525</w:t>
      </w:r>
      <w:r w:rsidR="00621DBB">
        <w:rPr>
          <w:rFonts w:asciiTheme="majorHAnsi" w:hAnsiTheme="majorHAnsi" w:cstheme="majorHAnsi"/>
          <w:spacing w:val="-3"/>
          <w:sz w:val="16"/>
          <w:szCs w:val="16"/>
          <w:u w:val="single"/>
        </w:rPr>
        <w:t xml:space="preserve"> Plus</w:t>
      </w:r>
      <w:r w:rsidRPr="008A0E23">
        <w:rPr>
          <w:rFonts w:asciiTheme="majorHAnsi" w:hAnsiTheme="majorHAnsi" w:cstheme="majorHAnsi"/>
          <w:spacing w:val="-3"/>
          <w:sz w:val="16"/>
          <w:szCs w:val="16"/>
        </w:rPr>
        <w:t xml:space="preserve">: </w:t>
      </w:r>
    </w:p>
    <w:p w14:paraId="176CBDB7" w14:textId="77777777" w:rsidR="00AB5236" w:rsidRPr="008A0E23" w:rsidRDefault="00AB5236" w:rsidP="00800BD7">
      <w:pPr>
        <w:tabs>
          <w:tab w:val="left" w:pos="0"/>
        </w:tabs>
        <w:spacing w:after="0" w:line="240" w:lineRule="auto"/>
        <w:ind w:right="51"/>
        <w:jc w:val="both"/>
        <w:rPr>
          <w:rFonts w:asciiTheme="majorHAnsi" w:hAnsiTheme="majorHAnsi" w:cstheme="majorHAnsi"/>
          <w:spacing w:val="-3"/>
          <w:sz w:val="16"/>
          <w:szCs w:val="16"/>
        </w:rPr>
      </w:pPr>
    </w:p>
    <w:p w14:paraId="177F3B57" w14:textId="7AA9F53D" w:rsidR="00800BD7" w:rsidRPr="008A0E23" w:rsidRDefault="000D2000" w:rsidP="00800BD7">
      <w:pPr>
        <w:pStyle w:val="Prrafodelista"/>
        <w:numPr>
          <w:ilvl w:val="0"/>
          <w:numId w:val="4"/>
        </w:numPr>
        <w:tabs>
          <w:tab w:val="left" w:pos="0"/>
        </w:tabs>
        <w:spacing w:after="0" w:line="240" w:lineRule="auto"/>
        <w:ind w:right="51"/>
        <w:jc w:val="both"/>
        <w:rPr>
          <w:rFonts w:asciiTheme="majorHAnsi" w:hAnsiTheme="majorHAnsi" w:cstheme="majorHAnsi"/>
          <w:b/>
          <w:spacing w:val="-3"/>
          <w:sz w:val="16"/>
          <w:szCs w:val="16"/>
        </w:rPr>
      </w:pPr>
      <w:r w:rsidRPr="008A0E23">
        <w:rPr>
          <w:rFonts w:asciiTheme="majorHAnsi" w:hAnsiTheme="majorHAnsi" w:cstheme="majorHAnsi"/>
          <w:b/>
          <w:spacing w:val="-3"/>
          <w:sz w:val="16"/>
          <w:szCs w:val="16"/>
        </w:rPr>
        <w:t>Naturaleza, Estructura</w:t>
      </w:r>
      <w:r w:rsidR="006F1328" w:rsidRPr="008A0E23">
        <w:rPr>
          <w:rFonts w:asciiTheme="majorHAnsi" w:hAnsiTheme="majorHAnsi" w:cstheme="majorHAnsi"/>
          <w:b/>
          <w:spacing w:val="-3"/>
          <w:sz w:val="16"/>
          <w:szCs w:val="16"/>
        </w:rPr>
        <w:t xml:space="preserve">, Perfil de Riesgo y Objetivo de Inversión </w:t>
      </w:r>
      <w:r w:rsidRPr="008A0E23">
        <w:rPr>
          <w:rFonts w:asciiTheme="majorHAnsi" w:hAnsiTheme="majorHAnsi" w:cstheme="majorHAnsi"/>
          <w:b/>
          <w:spacing w:val="-3"/>
          <w:sz w:val="16"/>
          <w:szCs w:val="16"/>
        </w:rPr>
        <w:t>de</w:t>
      </w:r>
      <w:r w:rsidR="0059432D" w:rsidRPr="008A0E23">
        <w:rPr>
          <w:rFonts w:asciiTheme="majorHAnsi" w:hAnsiTheme="majorHAnsi" w:cstheme="majorHAnsi"/>
          <w:b/>
          <w:spacing w:val="-3"/>
          <w:sz w:val="16"/>
          <w:szCs w:val="16"/>
        </w:rPr>
        <w:t xml:space="preserve"> </w:t>
      </w:r>
      <w:r w:rsidR="0059432D" w:rsidRPr="008A0E23">
        <w:rPr>
          <w:rFonts w:asciiTheme="majorHAnsi" w:hAnsiTheme="majorHAnsi" w:cstheme="majorHAnsi"/>
          <w:b/>
          <w:spacing w:val="-3"/>
          <w:sz w:val="16"/>
          <w:szCs w:val="16"/>
          <w:u w:val="single"/>
        </w:rPr>
        <w:t xml:space="preserve">El Fondo </w:t>
      </w:r>
      <w:r w:rsidR="0059432D" w:rsidRPr="00621DBB">
        <w:rPr>
          <w:rFonts w:asciiTheme="majorHAnsi" w:hAnsiTheme="majorHAnsi" w:cstheme="majorHAnsi"/>
          <w:b/>
          <w:spacing w:val="-3"/>
          <w:sz w:val="16"/>
          <w:szCs w:val="16"/>
          <w:u w:val="single"/>
        </w:rPr>
        <w:t>1525</w:t>
      </w:r>
      <w:r w:rsidR="00621DBB" w:rsidRPr="00621DBB">
        <w:rPr>
          <w:rFonts w:asciiTheme="majorHAnsi" w:hAnsiTheme="majorHAnsi" w:cstheme="majorHAnsi"/>
          <w:b/>
          <w:spacing w:val="-3"/>
          <w:sz w:val="16"/>
          <w:szCs w:val="16"/>
          <w:u w:val="single"/>
        </w:rPr>
        <w:t xml:space="preserve"> </w:t>
      </w:r>
      <w:proofErr w:type="gramStart"/>
      <w:r w:rsidR="00621DBB" w:rsidRPr="00621DBB">
        <w:rPr>
          <w:rFonts w:asciiTheme="majorHAnsi" w:hAnsiTheme="majorHAnsi" w:cstheme="majorHAnsi"/>
          <w:b/>
          <w:spacing w:val="-3"/>
          <w:sz w:val="16"/>
          <w:szCs w:val="16"/>
          <w:u w:val="single"/>
        </w:rPr>
        <w:t>Plus</w:t>
      </w:r>
      <w:r w:rsidR="00621DBB">
        <w:rPr>
          <w:rFonts w:asciiTheme="majorHAnsi" w:hAnsiTheme="majorHAnsi" w:cstheme="majorHAnsi"/>
          <w:b/>
          <w:spacing w:val="-3"/>
          <w:sz w:val="16"/>
          <w:szCs w:val="16"/>
        </w:rPr>
        <w:t xml:space="preserve"> </w:t>
      </w:r>
      <w:r w:rsidR="006F1328" w:rsidRPr="008A0E23">
        <w:rPr>
          <w:rFonts w:asciiTheme="majorHAnsi" w:hAnsiTheme="majorHAnsi" w:cstheme="majorHAnsi"/>
          <w:b/>
          <w:spacing w:val="-3"/>
          <w:sz w:val="16"/>
          <w:szCs w:val="16"/>
        </w:rPr>
        <w:t>:</w:t>
      </w:r>
      <w:proofErr w:type="gramEnd"/>
    </w:p>
    <w:p w14:paraId="2D535CE5" w14:textId="77777777" w:rsidR="00730D35" w:rsidRPr="008A0E23" w:rsidRDefault="00730D35" w:rsidP="00916E9B">
      <w:pPr>
        <w:tabs>
          <w:tab w:val="left" w:pos="0"/>
        </w:tabs>
        <w:spacing w:after="0" w:line="240" w:lineRule="auto"/>
        <w:ind w:right="51"/>
        <w:jc w:val="both"/>
        <w:rPr>
          <w:rFonts w:asciiTheme="majorHAnsi" w:hAnsiTheme="majorHAnsi" w:cstheme="majorHAnsi"/>
          <w:b/>
          <w:spacing w:val="-3"/>
          <w:sz w:val="16"/>
          <w:szCs w:val="16"/>
        </w:rPr>
      </w:pPr>
    </w:p>
    <w:p w14:paraId="503E528F" w14:textId="01F20B59" w:rsidR="00916E9B" w:rsidRPr="008A0E23" w:rsidRDefault="00916E9B" w:rsidP="00916E9B">
      <w:pPr>
        <w:tabs>
          <w:tab w:val="left" w:pos="0"/>
        </w:tabs>
        <w:spacing w:after="0" w:line="240" w:lineRule="auto"/>
        <w:ind w:right="51"/>
        <w:jc w:val="both"/>
        <w:rPr>
          <w:rFonts w:asciiTheme="majorHAnsi" w:hAnsiTheme="majorHAnsi" w:cstheme="majorHAnsi"/>
          <w:b/>
          <w:spacing w:val="-3"/>
          <w:sz w:val="16"/>
          <w:szCs w:val="16"/>
        </w:rPr>
      </w:pPr>
    </w:p>
    <w:tbl>
      <w:tblPr>
        <w:tblW w:w="8931" w:type="dxa"/>
        <w:tblInd w:w="-10" w:type="dxa"/>
        <w:tblCellMar>
          <w:left w:w="70" w:type="dxa"/>
          <w:right w:w="70" w:type="dxa"/>
        </w:tblCellMar>
        <w:tblLook w:val="04A0" w:firstRow="1" w:lastRow="0" w:firstColumn="1" w:lastColumn="0" w:noHBand="0" w:noVBand="1"/>
      </w:tblPr>
      <w:tblGrid>
        <w:gridCol w:w="2400"/>
        <w:gridCol w:w="6531"/>
      </w:tblGrid>
      <w:tr w:rsidR="00916E9B" w:rsidRPr="008A0E23" w14:paraId="5762A745" w14:textId="77777777" w:rsidTr="00C80E01">
        <w:trPr>
          <w:trHeight w:val="315"/>
        </w:trPr>
        <w:tc>
          <w:tcPr>
            <w:tcW w:w="2400" w:type="dxa"/>
            <w:tcBorders>
              <w:top w:val="single" w:sz="8" w:space="0" w:color="auto"/>
              <w:left w:val="single" w:sz="8" w:space="0" w:color="auto"/>
              <w:bottom w:val="single" w:sz="8" w:space="0" w:color="auto"/>
              <w:right w:val="single" w:sz="8" w:space="0" w:color="auto"/>
            </w:tcBorders>
            <w:shd w:val="clear" w:color="auto" w:fill="auto"/>
            <w:noWrap/>
          </w:tcPr>
          <w:p w14:paraId="330E3118" w14:textId="77777777" w:rsidR="00916E9B" w:rsidRPr="008A0E23" w:rsidRDefault="00916E9B" w:rsidP="00916E9B">
            <w:pPr>
              <w:tabs>
                <w:tab w:val="left" w:pos="0"/>
              </w:tabs>
              <w:spacing w:after="0" w:line="240" w:lineRule="auto"/>
              <w:ind w:right="51"/>
              <w:jc w:val="both"/>
              <w:rPr>
                <w:rFonts w:asciiTheme="majorHAnsi" w:hAnsiTheme="majorHAnsi" w:cstheme="majorHAnsi"/>
                <w:b/>
                <w:spacing w:val="-3"/>
                <w:sz w:val="16"/>
                <w:szCs w:val="16"/>
              </w:rPr>
            </w:pPr>
            <w:r w:rsidRPr="008A0E23">
              <w:rPr>
                <w:rFonts w:asciiTheme="majorHAnsi" w:hAnsiTheme="majorHAnsi" w:cstheme="majorHAnsi"/>
                <w:b/>
                <w:spacing w:val="-3"/>
                <w:sz w:val="16"/>
                <w:szCs w:val="16"/>
              </w:rPr>
              <w:t>Nombre de El Fondo</w:t>
            </w:r>
          </w:p>
          <w:p w14:paraId="0FB21093" w14:textId="6B9AF74D" w:rsidR="00730D35" w:rsidRPr="008A0E23" w:rsidRDefault="00730D35" w:rsidP="00916E9B">
            <w:pPr>
              <w:tabs>
                <w:tab w:val="left" w:pos="0"/>
              </w:tabs>
              <w:spacing w:after="0" w:line="240" w:lineRule="auto"/>
              <w:ind w:right="51"/>
              <w:jc w:val="both"/>
              <w:rPr>
                <w:rFonts w:asciiTheme="majorHAnsi" w:hAnsiTheme="majorHAnsi" w:cstheme="majorHAnsi"/>
                <w:b/>
                <w:spacing w:val="-3"/>
                <w:sz w:val="16"/>
                <w:szCs w:val="16"/>
              </w:rPr>
            </w:pPr>
          </w:p>
        </w:tc>
        <w:tc>
          <w:tcPr>
            <w:tcW w:w="6531" w:type="dxa"/>
            <w:tcBorders>
              <w:top w:val="single" w:sz="8" w:space="0" w:color="auto"/>
              <w:left w:val="nil"/>
              <w:bottom w:val="single" w:sz="8" w:space="0" w:color="auto"/>
              <w:right w:val="single" w:sz="8" w:space="0" w:color="auto"/>
            </w:tcBorders>
            <w:shd w:val="clear" w:color="auto" w:fill="auto"/>
            <w:noWrap/>
          </w:tcPr>
          <w:p w14:paraId="3D328D47" w14:textId="6ED0F2B7" w:rsidR="00916E9B" w:rsidRPr="008A0E23" w:rsidRDefault="0059432D" w:rsidP="00916E9B">
            <w:pPr>
              <w:tabs>
                <w:tab w:val="left" w:pos="0"/>
              </w:tabs>
              <w:spacing w:after="0" w:line="240" w:lineRule="auto"/>
              <w:ind w:right="51"/>
              <w:jc w:val="both"/>
              <w:rPr>
                <w:rFonts w:asciiTheme="majorHAnsi" w:hAnsiTheme="majorHAnsi" w:cstheme="majorHAnsi"/>
                <w:bCs/>
                <w:spacing w:val="-3"/>
                <w:sz w:val="16"/>
                <w:szCs w:val="16"/>
              </w:rPr>
            </w:pPr>
            <w:r w:rsidRPr="008A0E23">
              <w:rPr>
                <w:rFonts w:asciiTheme="majorHAnsi" w:hAnsiTheme="majorHAnsi" w:cstheme="majorHAnsi"/>
                <w:bCs/>
                <w:sz w:val="16"/>
                <w:szCs w:val="16"/>
              </w:rPr>
              <w:t>Fondo de Inversión Colectiva Abierto Liquidez 1525</w:t>
            </w:r>
            <w:r w:rsidR="00621DBB">
              <w:rPr>
                <w:rFonts w:asciiTheme="majorHAnsi" w:hAnsiTheme="majorHAnsi" w:cstheme="majorHAnsi"/>
                <w:bCs/>
                <w:sz w:val="16"/>
                <w:szCs w:val="16"/>
              </w:rPr>
              <w:t xml:space="preserve"> Plus</w:t>
            </w:r>
            <w:r w:rsidR="00916E9B" w:rsidRPr="008A0E23">
              <w:rPr>
                <w:rFonts w:asciiTheme="majorHAnsi" w:hAnsiTheme="majorHAnsi" w:cstheme="majorHAnsi"/>
                <w:bCs/>
                <w:spacing w:val="-3"/>
                <w:sz w:val="16"/>
                <w:szCs w:val="16"/>
              </w:rPr>
              <w:t>.</w:t>
            </w:r>
          </w:p>
        </w:tc>
      </w:tr>
      <w:tr w:rsidR="00916E9B" w:rsidRPr="008A0E23" w14:paraId="25332333" w14:textId="77777777" w:rsidTr="00C80E01">
        <w:trPr>
          <w:trHeight w:val="315"/>
        </w:trPr>
        <w:tc>
          <w:tcPr>
            <w:tcW w:w="2400" w:type="dxa"/>
            <w:tcBorders>
              <w:top w:val="single" w:sz="8" w:space="0" w:color="auto"/>
              <w:left w:val="single" w:sz="8" w:space="0" w:color="auto"/>
              <w:bottom w:val="single" w:sz="8" w:space="0" w:color="auto"/>
              <w:right w:val="single" w:sz="8" w:space="0" w:color="auto"/>
            </w:tcBorders>
            <w:shd w:val="clear" w:color="auto" w:fill="auto"/>
            <w:noWrap/>
          </w:tcPr>
          <w:p w14:paraId="6AFC4975" w14:textId="77777777" w:rsidR="00916E9B" w:rsidRPr="008A0E23" w:rsidRDefault="00916E9B" w:rsidP="00916E9B">
            <w:pPr>
              <w:tabs>
                <w:tab w:val="left" w:pos="0"/>
              </w:tabs>
              <w:spacing w:after="0" w:line="240" w:lineRule="auto"/>
              <w:ind w:right="51"/>
              <w:jc w:val="both"/>
              <w:rPr>
                <w:rFonts w:asciiTheme="majorHAnsi" w:hAnsiTheme="majorHAnsi" w:cstheme="majorHAnsi"/>
                <w:b/>
                <w:spacing w:val="-3"/>
                <w:sz w:val="16"/>
                <w:szCs w:val="16"/>
              </w:rPr>
            </w:pPr>
            <w:r w:rsidRPr="008A0E23">
              <w:rPr>
                <w:rFonts w:asciiTheme="majorHAnsi" w:hAnsiTheme="majorHAnsi" w:cstheme="majorHAnsi"/>
                <w:b/>
                <w:spacing w:val="-3"/>
                <w:sz w:val="16"/>
                <w:szCs w:val="16"/>
              </w:rPr>
              <w:t>Naturaleza</w:t>
            </w:r>
          </w:p>
          <w:p w14:paraId="7EB7F108" w14:textId="422044CD" w:rsidR="00730D35" w:rsidRPr="008A0E23" w:rsidRDefault="00730D35" w:rsidP="00916E9B">
            <w:pPr>
              <w:tabs>
                <w:tab w:val="left" w:pos="0"/>
              </w:tabs>
              <w:spacing w:after="0" w:line="240" w:lineRule="auto"/>
              <w:ind w:right="51"/>
              <w:jc w:val="both"/>
              <w:rPr>
                <w:rFonts w:asciiTheme="majorHAnsi" w:hAnsiTheme="majorHAnsi" w:cstheme="majorHAnsi"/>
                <w:b/>
                <w:spacing w:val="-3"/>
                <w:sz w:val="16"/>
                <w:szCs w:val="16"/>
              </w:rPr>
            </w:pPr>
          </w:p>
        </w:tc>
        <w:tc>
          <w:tcPr>
            <w:tcW w:w="6531" w:type="dxa"/>
            <w:tcBorders>
              <w:top w:val="single" w:sz="8" w:space="0" w:color="auto"/>
              <w:left w:val="nil"/>
              <w:bottom w:val="single" w:sz="8" w:space="0" w:color="auto"/>
              <w:right w:val="single" w:sz="8" w:space="0" w:color="auto"/>
            </w:tcBorders>
            <w:shd w:val="clear" w:color="auto" w:fill="auto"/>
            <w:noWrap/>
          </w:tcPr>
          <w:p w14:paraId="0E8EE7C0" w14:textId="48F90939" w:rsidR="0059432D" w:rsidRPr="008A0E23" w:rsidRDefault="00916E9B" w:rsidP="0059432D">
            <w:pPr>
              <w:tabs>
                <w:tab w:val="left" w:pos="0"/>
              </w:tabs>
              <w:spacing w:after="0" w:line="240" w:lineRule="auto"/>
              <w:ind w:right="51"/>
              <w:jc w:val="both"/>
              <w:rPr>
                <w:rFonts w:asciiTheme="majorHAnsi" w:hAnsiTheme="majorHAnsi" w:cstheme="majorHAnsi"/>
                <w:bCs/>
                <w:spacing w:val="-3"/>
                <w:sz w:val="16"/>
                <w:szCs w:val="16"/>
              </w:rPr>
            </w:pPr>
            <w:r w:rsidRPr="008A0E23">
              <w:rPr>
                <w:rFonts w:asciiTheme="majorHAnsi" w:hAnsiTheme="majorHAnsi" w:cstheme="majorHAnsi"/>
                <w:bCs/>
                <w:spacing w:val="-3"/>
                <w:sz w:val="16"/>
                <w:szCs w:val="16"/>
              </w:rPr>
              <w:t xml:space="preserve">Fondo de inversión de colectiva de naturaleza </w:t>
            </w:r>
            <w:r w:rsidR="0059432D" w:rsidRPr="008A0E23">
              <w:rPr>
                <w:rFonts w:asciiTheme="majorHAnsi" w:hAnsiTheme="majorHAnsi" w:cstheme="majorHAnsi"/>
                <w:bCs/>
                <w:spacing w:val="-3"/>
                <w:sz w:val="16"/>
                <w:szCs w:val="16"/>
              </w:rPr>
              <w:t xml:space="preserve">abierta, sin pacto de permanencia, lo cual significa que la redención de recursos podrá realizarse </w:t>
            </w:r>
          </w:p>
          <w:p w14:paraId="71A6C07B" w14:textId="1B5D6AF9" w:rsidR="00916E9B" w:rsidRPr="008A0E23" w:rsidRDefault="0059432D" w:rsidP="0059432D">
            <w:pPr>
              <w:tabs>
                <w:tab w:val="left" w:pos="0"/>
              </w:tabs>
              <w:spacing w:after="0" w:line="240" w:lineRule="auto"/>
              <w:ind w:right="51"/>
              <w:jc w:val="both"/>
              <w:rPr>
                <w:rFonts w:asciiTheme="majorHAnsi" w:hAnsiTheme="majorHAnsi" w:cstheme="majorHAnsi"/>
                <w:bCs/>
                <w:spacing w:val="-3"/>
                <w:sz w:val="16"/>
                <w:szCs w:val="16"/>
              </w:rPr>
            </w:pPr>
            <w:r w:rsidRPr="008A0E23">
              <w:rPr>
                <w:rFonts w:asciiTheme="majorHAnsi" w:hAnsiTheme="majorHAnsi" w:cstheme="majorHAnsi"/>
                <w:bCs/>
                <w:spacing w:val="-3"/>
                <w:sz w:val="16"/>
                <w:szCs w:val="16"/>
              </w:rPr>
              <w:t>en cualquier momento</w:t>
            </w:r>
            <w:r w:rsidR="00916E9B" w:rsidRPr="008A0E23">
              <w:rPr>
                <w:rFonts w:asciiTheme="majorHAnsi" w:hAnsiTheme="majorHAnsi" w:cstheme="majorHAnsi"/>
                <w:bCs/>
                <w:spacing w:val="-3"/>
                <w:sz w:val="16"/>
                <w:szCs w:val="16"/>
              </w:rPr>
              <w:t>.</w:t>
            </w:r>
          </w:p>
        </w:tc>
      </w:tr>
      <w:tr w:rsidR="00916E9B" w:rsidRPr="008A0E23" w14:paraId="41AD084B" w14:textId="77777777" w:rsidTr="00C80E01">
        <w:trPr>
          <w:trHeight w:val="315"/>
        </w:trPr>
        <w:tc>
          <w:tcPr>
            <w:tcW w:w="2400" w:type="dxa"/>
            <w:tcBorders>
              <w:top w:val="single" w:sz="8" w:space="0" w:color="auto"/>
              <w:left w:val="single" w:sz="8" w:space="0" w:color="auto"/>
              <w:bottom w:val="single" w:sz="8" w:space="0" w:color="auto"/>
              <w:right w:val="single" w:sz="8" w:space="0" w:color="auto"/>
            </w:tcBorders>
            <w:shd w:val="clear" w:color="auto" w:fill="auto"/>
            <w:noWrap/>
          </w:tcPr>
          <w:p w14:paraId="35DA2063" w14:textId="77777777" w:rsidR="00916E9B" w:rsidRPr="008A0E23" w:rsidRDefault="00916E9B" w:rsidP="00916E9B">
            <w:pPr>
              <w:tabs>
                <w:tab w:val="left" w:pos="0"/>
              </w:tabs>
              <w:spacing w:after="0" w:line="240" w:lineRule="auto"/>
              <w:ind w:right="51"/>
              <w:jc w:val="both"/>
              <w:rPr>
                <w:rFonts w:asciiTheme="majorHAnsi" w:hAnsiTheme="majorHAnsi" w:cstheme="majorHAnsi"/>
                <w:b/>
                <w:spacing w:val="-3"/>
                <w:sz w:val="16"/>
                <w:szCs w:val="16"/>
              </w:rPr>
            </w:pPr>
            <w:r w:rsidRPr="008A0E23">
              <w:rPr>
                <w:rFonts w:asciiTheme="majorHAnsi" w:hAnsiTheme="majorHAnsi" w:cstheme="majorHAnsi"/>
                <w:b/>
                <w:spacing w:val="-3"/>
                <w:sz w:val="16"/>
                <w:szCs w:val="16"/>
              </w:rPr>
              <w:t xml:space="preserve">Perfil de Riesgo </w:t>
            </w:r>
          </w:p>
        </w:tc>
        <w:tc>
          <w:tcPr>
            <w:tcW w:w="6531" w:type="dxa"/>
            <w:tcBorders>
              <w:top w:val="single" w:sz="8" w:space="0" w:color="auto"/>
              <w:left w:val="nil"/>
              <w:bottom w:val="single" w:sz="8" w:space="0" w:color="auto"/>
              <w:right w:val="single" w:sz="8" w:space="0" w:color="auto"/>
            </w:tcBorders>
            <w:shd w:val="clear" w:color="auto" w:fill="auto"/>
            <w:noWrap/>
          </w:tcPr>
          <w:p w14:paraId="0C194D09" w14:textId="1C9686BD" w:rsidR="00916E9B" w:rsidRPr="008A0E23" w:rsidRDefault="00903E9C" w:rsidP="00903E9C">
            <w:pPr>
              <w:tabs>
                <w:tab w:val="left" w:pos="0"/>
              </w:tabs>
              <w:spacing w:after="0" w:line="240" w:lineRule="auto"/>
              <w:ind w:right="51"/>
              <w:jc w:val="both"/>
              <w:rPr>
                <w:rFonts w:asciiTheme="majorHAnsi" w:hAnsiTheme="majorHAnsi" w:cstheme="majorHAnsi"/>
                <w:bCs/>
                <w:spacing w:val="-3"/>
                <w:sz w:val="16"/>
                <w:szCs w:val="16"/>
              </w:rPr>
            </w:pPr>
            <w:r w:rsidRPr="008A0E23">
              <w:rPr>
                <w:rFonts w:asciiTheme="majorHAnsi" w:hAnsiTheme="majorHAnsi" w:cstheme="majorHAnsi"/>
                <w:bCs/>
                <w:spacing w:val="-3"/>
                <w:sz w:val="16"/>
                <w:szCs w:val="16"/>
              </w:rPr>
              <w:t xml:space="preserve">El </w:t>
            </w:r>
            <w:r w:rsidR="00916E9B" w:rsidRPr="008A0E23">
              <w:rPr>
                <w:rFonts w:asciiTheme="majorHAnsi" w:hAnsiTheme="majorHAnsi" w:cstheme="majorHAnsi"/>
                <w:bCs/>
                <w:spacing w:val="-3"/>
                <w:sz w:val="16"/>
                <w:szCs w:val="16"/>
              </w:rPr>
              <w:t xml:space="preserve">perfil general de riesgo </w:t>
            </w:r>
            <w:r w:rsidR="00AB5236" w:rsidRPr="008A0E23">
              <w:rPr>
                <w:rFonts w:asciiTheme="majorHAnsi" w:hAnsiTheme="majorHAnsi" w:cstheme="majorHAnsi"/>
                <w:bCs/>
                <w:spacing w:val="-3"/>
                <w:sz w:val="16"/>
                <w:szCs w:val="16"/>
              </w:rPr>
              <w:t>de</w:t>
            </w:r>
            <w:r w:rsidRPr="008A0E23">
              <w:rPr>
                <w:rFonts w:asciiTheme="majorHAnsi" w:hAnsiTheme="majorHAnsi" w:cstheme="majorHAnsi"/>
                <w:b/>
                <w:spacing w:val="-3"/>
                <w:sz w:val="16"/>
                <w:szCs w:val="16"/>
              </w:rPr>
              <w:t xml:space="preserve"> </w:t>
            </w:r>
            <w:r w:rsidRPr="008A0E23">
              <w:rPr>
                <w:rFonts w:asciiTheme="majorHAnsi" w:hAnsiTheme="majorHAnsi" w:cstheme="majorHAnsi"/>
                <w:bCs/>
                <w:spacing w:val="-3"/>
                <w:sz w:val="16"/>
                <w:szCs w:val="16"/>
                <w:u w:val="single"/>
              </w:rPr>
              <w:t xml:space="preserve">El Fondo 1525 </w:t>
            </w:r>
            <w:r w:rsidR="00621DBB">
              <w:rPr>
                <w:rFonts w:asciiTheme="majorHAnsi" w:hAnsiTheme="majorHAnsi" w:cstheme="majorHAnsi"/>
                <w:bCs/>
                <w:spacing w:val="-3"/>
                <w:sz w:val="16"/>
                <w:szCs w:val="16"/>
                <w:u w:val="single"/>
              </w:rPr>
              <w:t>Plus</w:t>
            </w:r>
            <w:r w:rsidR="00621DBB" w:rsidRPr="00621DBB">
              <w:rPr>
                <w:rFonts w:asciiTheme="majorHAnsi" w:hAnsiTheme="majorHAnsi" w:cstheme="majorHAnsi"/>
                <w:bCs/>
                <w:spacing w:val="-3"/>
                <w:sz w:val="16"/>
                <w:szCs w:val="16"/>
              </w:rPr>
              <w:t xml:space="preserve"> </w:t>
            </w:r>
            <w:r w:rsidR="00916E9B" w:rsidRPr="008A0E23">
              <w:rPr>
                <w:rFonts w:asciiTheme="majorHAnsi" w:hAnsiTheme="majorHAnsi" w:cstheme="majorHAnsi"/>
                <w:bCs/>
                <w:spacing w:val="-3"/>
                <w:sz w:val="16"/>
                <w:szCs w:val="16"/>
              </w:rPr>
              <w:t xml:space="preserve">es </w:t>
            </w:r>
            <w:r w:rsidRPr="008A0E23">
              <w:rPr>
                <w:rFonts w:asciiTheme="majorHAnsi" w:hAnsiTheme="majorHAnsi" w:cstheme="majorHAnsi"/>
                <w:b/>
                <w:spacing w:val="-3"/>
                <w:sz w:val="16"/>
                <w:szCs w:val="16"/>
              </w:rPr>
              <w:t>conservador</w:t>
            </w:r>
            <w:r w:rsidR="00916E9B" w:rsidRPr="008A0E23">
              <w:rPr>
                <w:rFonts w:asciiTheme="majorHAnsi" w:hAnsiTheme="majorHAnsi" w:cstheme="majorHAnsi"/>
                <w:bCs/>
                <w:spacing w:val="-3"/>
                <w:sz w:val="16"/>
                <w:szCs w:val="16"/>
              </w:rPr>
              <w:t xml:space="preserve">, </w:t>
            </w:r>
            <w:r w:rsidRPr="008A0E23">
              <w:rPr>
                <w:rFonts w:asciiTheme="majorHAnsi" w:hAnsiTheme="majorHAnsi" w:cstheme="majorHAnsi"/>
                <w:bCs/>
                <w:spacing w:val="-3"/>
                <w:sz w:val="16"/>
                <w:szCs w:val="16"/>
              </w:rPr>
              <w:t>por cuanto las inversiones se concentran en valores de alta calidad crediticia, con un sistema de administración de riesgo de mercado adecuado, un modelo interno que permiten prever necesidades de liquidez y una política de diversificación clara. Adicionalmente, la Fiduciaria Corficolombiana, en su condición de sociedad administradora, cuenta con un sistema de administración de riesgo operacional y está certificada en el sistema de gestión de la calidad, lo que mitiga deficiencias o fallas en el recurso humano, los procesos, la tecnología, la infraestructura o la ocurrencia de acontecimientos externos.</w:t>
            </w:r>
          </w:p>
        </w:tc>
      </w:tr>
      <w:tr w:rsidR="006F1328" w:rsidRPr="008A0E23" w14:paraId="161B8E65" w14:textId="77777777" w:rsidTr="00C80E01">
        <w:trPr>
          <w:trHeight w:val="315"/>
        </w:trPr>
        <w:tc>
          <w:tcPr>
            <w:tcW w:w="2400" w:type="dxa"/>
            <w:tcBorders>
              <w:top w:val="single" w:sz="8" w:space="0" w:color="auto"/>
              <w:left w:val="single" w:sz="8" w:space="0" w:color="auto"/>
              <w:bottom w:val="single" w:sz="8" w:space="0" w:color="auto"/>
              <w:right w:val="single" w:sz="8" w:space="0" w:color="auto"/>
            </w:tcBorders>
            <w:shd w:val="clear" w:color="auto" w:fill="auto"/>
            <w:noWrap/>
            <w:hideMark/>
          </w:tcPr>
          <w:p w14:paraId="2A232C27" w14:textId="77777777" w:rsidR="006F1328" w:rsidRPr="008A0E23" w:rsidRDefault="006F1328" w:rsidP="00C80E01">
            <w:pPr>
              <w:spacing w:after="0" w:line="240" w:lineRule="auto"/>
              <w:jc w:val="both"/>
              <w:rPr>
                <w:rFonts w:asciiTheme="majorHAnsi" w:eastAsia="Times New Roman" w:hAnsiTheme="majorHAnsi" w:cstheme="majorHAnsi"/>
                <w:color w:val="000000"/>
                <w:sz w:val="16"/>
                <w:szCs w:val="16"/>
                <w:lang w:eastAsia="es-CO"/>
              </w:rPr>
            </w:pPr>
            <w:r w:rsidRPr="008A0E23">
              <w:rPr>
                <w:rFonts w:asciiTheme="majorHAnsi" w:eastAsia="Times New Roman" w:hAnsiTheme="majorHAnsi" w:cstheme="majorHAnsi"/>
                <w:b/>
                <w:bCs/>
                <w:color w:val="000000"/>
                <w:sz w:val="16"/>
                <w:szCs w:val="16"/>
                <w:lang w:eastAsia="es-CO"/>
              </w:rPr>
              <w:t> Objetivo de El Fondo</w:t>
            </w:r>
            <w:r w:rsidRPr="008A0E23">
              <w:rPr>
                <w:rFonts w:asciiTheme="majorHAnsi" w:eastAsia="Times New Roman" w:hAnsiTheme="majorHAnsi" w:cstheme="majorHAnsi"/>
                <w:color w:val="000000"/>
                <w:sz w:val="16"/>
                <w:szCs w:val="16"/>
                <w:lang w:eastAsia="es-CO"/>
              </w:rPr>
              <w:t>:</w:t>
            </w:r>
          </w:p>
        </w:tc>
        <w:tc>
          <w:tcPr>
            <w:tcW w:w="6531" w:type="dxa"/>
            <w:tcBorders>
              <w:top w:val="single" w:sz="8" w:space="0" w:color="auto"/>
              <w:left w:val="nil"/>
              <w:bottom w:val="single" w:sz="8" w:space="0" w:color="auto"/>
              <w:right w:val="single" w:sz="8" w:space="0" w:color="auto"/>
            </w:tcBorders>
            <w:shd w:val="clear" w:color="auto" w:fill="auto"/>
            <w:noWrap/>
            <w:hideMark/>
          </w:tcPr>
          <w:p w14:paraId="22619EF3" w14:textId="7B6F91EB" w:rsidR="006F1328" w:rsidRPr="008A0E23" w:rsidRDefault="006F1328" w:rsidP="006A71EE">
            <w:pPr>
              <w:spacing w:after="0" w:line="240" w:lineRule="auto"/>
              <w:jc w:val="both"/>
              <w:rPr>
                <w:rFonts w:asciiTheme="majorHAnsi" w:eastAsia="Times New Roman" w:hAnsiTheme="majorHAnsi" w:cstheme="majorHAnsi"/>
                <w:color w:val="000000"/>
                <w:sz w:val="16"/>
                <w:szCs w:val="16"/>
                <w:lang w:eastAsia="es-CO"/>
              </w:rPr>
            </w:pPr>
            <w:r w:rsidRPr="008A0E23">
              <w:rPr>
                <w:rFonts w:asciiTheme="majorHAnsi" w:eastAsia="Times New Roman" w:hAnsiTheme="majorHAnsi" w:cstheme="majorHAnsi"/>
                <w:color w:val="000000"/>
                <w:sz w:val="16"/>
                <w:szCs w:val="16"/>
                <w:lang w:eastAsia="es-CO"/>
              </w:rPr>
              <w:t xml:space="preserve">El objetivo de </w:t>
            </w:r>
            <w:r w:rsidRPr="008A0E23">
              <w:rPr>
                <w:rFonts w:asciiTheme="majorHAnsi" w:eastAsia="Times New Roman" w:hAnsiTheme="majorHAnsi" w:cstheme="majorHAnsi"/>
                <w:color w:val="000000"/>
                <w:sz w:val="16"/>
                <w:szCs w:val="16"/>
                <w:u w:val="single"/>
                <w:lang w:eastAsia="es-CO"/>
              </w:rPr>
              <w:t xml:space="preserve">El Fondo </w:t>
            </w:r>
            <w:bookmarkStart w:id="1" w:name="_Hlk62461328"/>
            <w:r w:rsidR="006A71EE" w:rsidRPr="008A0E23">
              <w:rPr>
                <w:rFonts w:asciiTheme="majorHAnsi" w:eastAsia="Times New Roman" w:hAnsiTheme="majorHAnsi" w:cstheme="majorHAnsi"/>
                <w:color w:val="000000"/>
                <w:sz w:val="16"/>
                <w:szCs w:val="16"/>
                <w:u w:val="single"/>
                <w:lang w:eastAsia="es-CO"/>
              </w:rPr>
              <w:t>1525</w:t>
            </w:r>
            <w:r w:rsidR="00621DBB">
              <w:rPr>
                <w:rFonts w:asciiTheme="majorHAnsi" w:eastAsia="Times New Roman" w:hAnsiTheme="majorHAnsi" w:cstheme="majorHAnsi"/>
                <w:color w:val="000000"/>
                <w:sz w:val="16"/>
                <w:szCs w:val="16"/>
                <w:u w:val="single"/>
                <w:lang w:eastAsia="es-CO"/>
              </w:rPr>
              <w:t xml:space="preserve"> Plus</w:t>
            </w:r>
            <w:r w:rsidR="006A71EE" w:rsidRPr="008A0E23">
              <w:rPr>
                <w:rFonts w:asciiTheme="majorHAnsi" w:eastAsia="Times New Roman" w:hAnsiTheme="majorHAnsi" w:cstheme="majorHAnsi"/>
                <w:color w:val="000000"/>
                <w:sz w:val="16"/>
                <w:szCs w:val="16"/>
                <w:lang w:eastAsia="es-CO"/>
              </w:rPr>
              <w:t xml:space="preserve"> </w:t>
            </w:r>
            <w:r w:rsidRPr="008A0E23">
              <w:rPr>
                <w:rFonts w:asciiTheme="majorHAnsi" w:eastAsia="Times New Roman" w:hAnsiTheme="majorHAnsi" w:cstheme="majorHAnsi"/>
                <w:color w:val="000000"/>
                <w:sz w:val="16"/>
                <w:szCs w:val="16"/>
                <w:lang w:eastAsia="es-CO"/>
              </w:rPr>
              <w:t xml:space="preserve">es </w:t>
            </w:r>
            <w:r w:rsidR="006A71EE" w:rsidRPr="008A0E23">
              <w:rPr>
                <w:rFonts w:asciiTheme="majorHAnsi" w:eastAsia="Times New Roman" w:hAnsiTheme="majorHAnsi" w:cstheme="majorHAnsi"/>
                <w:color w:val="000000"/>
                <w:sz w:val="16"/>
                <w:szCs w:val="16"/>
                <w:lang w:eastAsia="es-CO"/>
              </w:rPr>
              <w:t>brindar al inversionista una alternativa de inversión conservadora con un perfil de riesgo bajo, que invierte en su mayoría en títulos emitidos por la Nación, cuentas bancarias y CDT de mediano y corto plazo con bajo riesgo crediticio</w:t>
            </w:r>
            <w:r w:rsidR="00740FC2" w:rsidRPr="008A0E23">
              <w:rPr>
                <w:rFonts w:asciiTheme="majorHAnsi" w:eastAsia="Times New Roman" w:hAnsiTheme="majorHAnsi" w:cstheme="majorHAnsi"/>
                <w:color w:val="000000"/>
                <w:sz w:val="16"/>
                <w:szCs w:val="16"/>
                <w:lang w:eastAsia="es-CO"/>
              </w:rPr>
              <w:t>.</w:t>
            </w:r>
            <w:bookmarkEnd w:id="1"/>
          </w:p>
        </w:tc>
      </w:tr>
      <w:tr w:rsidR="00916E9B" w:rsidRPr="008A0E23" w14:paraId="6B9B3739" w14:textId="77777777" w:rsidTr="00C80E01">
        <w:trPr>
          <w:trHeight w:val="315"/>
        </w:trPr>
        <w:tc>
          <w:tcPr>
            <w:tcW w:w="2400" w:type="dxa"/>
            <w:tcBorders>
              <w:top w:val="single" w:sz="8" w:space="0" w:color="auto"/>
              <w:left w:val="single" w:sz="8" w:space="0" w:color="auto"/>
              <w:bottom w:val="single" w:sz="8" w:space="0" w:color="auto"/>
              <w:right w:val="single" w:sz="8" w:space="0" w:color="auto"/>
            </w:tcBorders>
            <w:shd w:val="clear" w:color="auto" w:fill="auto"/>
            <w:noWrap/>
          </w:tcPr>
          <w:p w14:paraId="2623FDAA" w14:textId="77777777" w:rsidR="00916E9B" w:rsidRPr="008A0E23" w:rsidRDefault="00916E9B" w:rsidP="00916E9B">
            <w:pPr>
              <w:tabs>
                <w:tab w:val="left" w:pos="0"/>
              </w:tabs>
              <w:spacing w:after="0" w:line="240" w:lineRule="auto"/>
              <w:ind w:right="51"/>
              <w:jc w:val="both"/>
              <w:rPr>
                <w:rFonts w:asciiTheme="majorHAnsi" w:hAnsiTheme="majorHAnsi" w:cstheme="majorHAnsi"/>
                <w:b/>
                <w:spacing w:val="-3"/>
                <w:sz w:val="16"/>
                <w:szCs w:val="16"/>
              </w:rPr>
            </w:pPr>
            <w:bookmarkStart w:id="2" w:name="_Hlk62461400"/>
            <w:r w:rsidRPr="008A0E23">
              <w:rPr>
                <w:rFonts w:asciiTheme="majorHAnsi" w:hAnsiTheme="majorHAnsi" w:cstheme="majorHAnsi"/>
                <w:b/>
                <w:spacing w:val="-3"/>
                <w:sz w:val="16"/>
                <w:szCs w:val="16"/>
              </w:rPr>
              <w:t>Perfil de Inversionista</w:t>
            </w:r>
          </w:p>
        </w:tc>
        <w:tc>
          <w:tcPr>
            <w:tcW w:w="6531" w:type="dxa"/>
            <w:tcBorders>
              <w:top w:val="single" w:sz="8" w:space="0" w:color="auto"/>
              <w:left w:val="nil"/>
              <w:bottom w:val="single" w:sz="8" w:space="0" w:color="auto"/>
              <w:right w:val="single" w:sz="8" w:space="0" w:color="auto"/>
            </w:tcBorders>
            <w:shd w:val="clear" w:color="auto" w:fill="auto"/>
            <w:noWrap/>
          </w:tcPr>
          <w:p w14:paraId="4DC7231F" w14:textId="2D07DC10" w:rsidR="00916E9B" w:rsidRPr="008A0E23" w:rsidRDefault="00916E9B" w:rsidP="00916E9B">
            <w:pPr>
              <w:tabs>
                <w:tab w:val="left" w:pos="0"/>
              </w:tabs>
              <w:spacing w:after="0" w:line="240" w:lineRule="auto"/>
              <w:ind w:right="51"/>
              <w:jc w:val="both"/>
              <w:rPr>
                <w:rFonts w:asciiTheme="majorHAnsi" w:hAnsiTheme="majorHAnsi" w:cstheme="majorHAnsi"/>
                <w:bCs/>
                <w:spacing w:val="-3"/>
                <w:sz w:val="16"/>
                <w:szCs w:val="16"/>
              </w:rPr>
            </w:pPr>
            <w:bookmarkStart w:id="3" w:name="_Hlk62233932"/>
            <w:r w:rsidRPr="008A0E23">
              <w:rPr>
                <w:rFonts w:asciiTheme="majorHAnsi" w:hAnsiTheme="majorHAnsi" w:cstheme="majorHAnsi"/>
                <w:bCs/>
                <w:spacing w:val="-3"/>
                <w:sz w:val="16"/>
                <w:szCs w:val="16"/>
                <w:u w:val="single"/>
              </w:rPr>
              <w:t xml:space="preserve">El Fondo </w:t>
            </w:r>
            <w:r w:rsidR="00740FC2" w:rsidRPr="008A0E23">
              <w:rPr>
                <w:rFonts w:asciiTheme="majorHAnsi" w:hAnsiTheme="majorHAnsi" w:cstheme="majorHAnsi"/>
                <w:bCs/>
                <w:spacing w:val="-3"/>
                <w:sz w:val="16"/>
                <w:szCs w:val="16"/>
                <w:u w:val="single"/>
              </w:rPr>
              <w:t>1525</w:t>
            </w:r>
            <w:r w:rsidR="00621DBB">
              <w:rPr>
                <w:rFonts w:asciiTheme="majorHAnsi" w:hAnsiTheme="majorHAnsi" w:cstheme="majorHAnsi"/>
                <w:bCs/>
                <w:spacing w:val="-3"/>
                <w:sz w:val="16"/>
                <w:szCs w:val="16"/>
                <w:u w:val="single"/>
              </w:rPr>
              <w:t xml:space="preserve"> Plus</w:t>
            </w:r>
            <w:r w:rsidR="00740FC2" w:rsidRPr="008A0E23">
              <w:rPr>
                <w:rFonts w:asciiTheme="majorHAnsi" w:hAnsiTheme="majorHAnsi" w:cstheme="majorHAnsi"/>
                <w:bCs/>
                <w:spacing w:val="-3"/>
                <w:sz w:val="16"/>
                <w:szCs w:val="16"/>
              </w:rPr>
              <w:t xml:space="preserve"> </w:t>
            </w:r>
            <w:r w:rsidRPr="008A0E23">
              <w:rPr>
                <w:rFonts w:asciiTheme="majorHAnsi" w:hAnsiTheme="majorHAnsi" w:cstheme="majorHAnsi"/>
                <w:bCs/>
                <w:spacing w:val="-3"/>
                <w:sz w:val="16"/>
                <w:szCs w:val="16"/>
              </w:rPr>
              <w:t xml:space="preserve">está dirigido </w:t>
            </w:r>
            <w:r w:rsidR="00740FC2" w:rsidRPr="00CE4BA5">
              <w:rPr>
                <w:rFonts w:asciiTheme="majorHAnsi" w:eastAsia="Times New Roman" w:hAnsiTheme="majorHAnsi" w:cstheme="majorHAnsi"/>
                <w:color w:val="000000"/>
                <w:sz w:val="16"/>
                <w:szCs w:val="16"/>
                <w:lang w:eastAsia="es-CO"/>
              </w:rPr>
              <w:t xml:space="preserve">principalmente pero no exclusivamente a </w:t>
            </w:r>
            <w:r w:rsidR="00364EA9" w:rsidRPr="00CE4BA5">
              <w:rPr>
                <w:rFonts w:asciiTheme="majorHAnsi" w:eastAsia="Times New Roman" w:hAnsiTheme="majorHAnsi" w:cstheme="majorHAnsi"/>
                <w:color w:val="000000"/>
                <w:sz w:val="16"/>
                <w:szCs w:val="16"/>
                <w:lang w:eastAsia="es-CO"/>
              </w:rPr>
              <w:t>aquellos</w:t>
            </w:r>
            <w:r w:rsidR="00740FC2" w:rsidRPr="00CE4BA5">
              <w:rPr>
                <w:rFonts w:asciiTheme="majorHAnsi" w:eastAsia="Times New Roman" w:hAnsiTheme="majorHAnsi" w:cstheme="majorHAnsi"/>
                <w:color w:val="000000"/>
                <w:sz w:val="16"/>
                <w:szCs w:val="16"/>
                <w:lang w:eastAsia="es-CO"/>
              </w:rPr>
              <w:t xml:space="preserve"> inversionistas que deben cumplir con el régimen de inversión previsto en el Libro 2, Parte 3, Título 3 del Decreto 1068 de 2015, Decreto Único Reglamentario del Sector Hacienda y Crédito Público o en las normas que lo adicionen, modifiquen y/o reglamenten, pues cumple con todas las limitaciones de inversión establecidas en el mismo, por lo que cualquier </w:t>
            </w:r>
            <w:r w:rsidR="00740FC2" w:rsidRPr="00CE4BA5">
              <w:rPr>
                <w:rFonts w:asciiTheme="majorHAnsi" w:eastAsia="Times New Roman" w:hAnsiTheme="majorHAnsi" w:cstheme="majorHAnsi"/>
                <w:color w:val="000000"/>
                <w:sz w:val="16"/>
                <w:szCs w:val="16"/>
                <w:lang w:eastAsia="es-CO"/>
              </w:rPr>
              <w:cr/>
            </w:r>
            <w:r w:rsidRPr="00CE4BA5">
              <w:rPr>
                <w:rFonts w:asciiTheme="majorHAnsi" w:hAnsiTheme="majorHAnsi" w:cstheme="majorHAnsi"/>
                <w:bCs/>
                <w:spacing w:val="-3"/>
                <w:sz w:val="16"/>
                <w:szCs w:val="16"/>
              </w:rPr>
              <w:t>inversionista</w:t>
            </w:r>
            <w:r w:rsidR="00740FC2" w:rsidRPr="00CE4BA5">
              <w:rPr>
                <w:rFonts w:asciiTheme="majorHAnsi" w:hAnsiTheme="majorHAnsi" w:cstheme="majorHAnsi"/>
                <w:bCs/>
                <w:spacing w:val="-3"/>
                <w:sz w:val="16"/>
                <w:szCs w:val="16"/>
              </w:rPr>
              <w:t xml:space="preserve"> </w:t>
            </w:r>
            <w:proofErr w:type="gramStart"/>
            <w:r w:rsidRPr="00CE4BA5">
              <w:rPr>
                <w:rFonts w:asciiTheme="majorHAnsi" w:hAnsiTheme="majorHAnsi" w:cstheme="majorHAnsi"/>
                <w:bCs/>
                <w:spacing w:val="-3"/>
                <w:sz w:val="16"/>
                <w:szCs w:val="16"/>
              </w:rPr>
              <w:t>profesional</w:t>
            </w:r>
            <w:r w:rsidR="00740FC2" w:rsidRPr="00CE4BA5">
              <w:rPr>
                <w:rFonts w:asciiTheme="majorHAnsi" w:hAnsiTheme="majorHAnsi" w:cstheme="majorHAnsi"/>
                <w:bCs/>
                <w:spacing w:val="-3"/>
                <w:sz w:val="16"/>
                <w:szCs w:val="16"/>
              </w:rPr>
              <w:t xml:space="preserve"> </w:t>
            </w:r>
            <w:r w:rsidRPr="00CE4BA5">
              <w:rPr>
                <w:rFonts w:asciiTheme="majorHAnsi" w:hAnsiTheme="majorHAnsi" w:cstheme="majorHAnsi"/>
                <w:bCs/>
                <w:spacing w:val="-3"/>
                <w:sz w:val="16"/>
                <w:szCs w:val="16"/>
              </w:rPr>
              <w:t xml:space="preserve"> y</w:t>
            </w:r>
            <w:proofErr w:type="gramEnd"/>
            <w:r w:rsidR="00740FC2" w:rsidRPr="00CE4BA5">
              <w:rPr>
                <w:rFonts w:asciiTheme="majorHAnsi" w:hAnsiTheme="majorHAnsi" w:cstheme="majorHAnsi"/>
                <w:bCs/>
                <w:spacing w:val="-3"/>
                <w:sz w:val="16"/>
                <w:szCs w:val="16"/>
              </w:rPr>
              <w:t xml:space="preserve">/o </w:t>
            </w:r>
            <w:r w:rsidRPr="00CE4BA5">
              <w:rPr>
                <w:rFonts w:asciiTheme="majorHAnsi" w:hAnsiTheme="majorHAnsi" w:cstheme="majorHAnsi"/>
                <w:bCs/>
                <w:spacing w:val="-3"/>
                <w:sz w:val="16"/>
                <w:szCs w:val="16"/>
              </w:rPr>
              <w:t xml:space="preserve"> cliente</w:t>
            </w:r>
            <w:r w:rsidR="00740FC2" w:rsidRPr="00CE4BA5">
              <w:rPr>
                <w:rFonts w:asciiTheme="majorHAnsi" w:hAnsiTheme="majorHAnsi" w:cstheme="majorHAnsi"/>
                <w:bCs/>
                <w:spacing w:val="-3"/>
                <w:sz w:val="16"/>
                <w:szCs w:val="16"/>
              </w:rPr>
              <w:t xml:space="preserve"> </w:t>
            </w:r>
            <w:r w:rsidRPr="00CE4BA5">
              <w:rPr>
                <w:rFonts w:asciiTheme="majorHAnsi" w:hAnsiTheme="majorHAnsi" w:cstheme="majorHAnsi"/>
                <w:bCs/>
                <w:spacing w:val="-3"/>
                <w:sz w:val="16"/>
                <w:szCs w:val="16"/>
              </w:rPr>
              <w:t>inversionista</w:t>
            </w:r>
            <w:r w:rsidR="00740FC2" w:rsidRPr="00CE4BA5">
              <w:rPr>
                <w:rFonts w:asciiTheme="majorHAnsi" w:hAnsiTheme="majorHAnsi" w:cstheme="majorHAnsi"/>
                <w:bCs/>
                <w:spacing w:val="-3"/>
                <w:sz w:val="16"/>
                <w:szCs w:val="16"/>
              </w:rPr>
              <w:t xml:space="preserve"> </w:t>
            </w:r>
            <w:r w:rsidRPr="00CE4BA5">
              <w:rPr>
                <w:rFonts w:asciiTheme="majorHAnsi" w:hAnsiTheme="majorHAnsi" w:cstheme="majorHAnsi"/>
                <w:bCs/>
                <w:spacing w:val="-3"/>
                <w:sz w:val="16"/>
                <w:szCs w:val="16"/>
              </w:rPr>
              <w:t xml:space="preserve"> </w:t>
            </w:r>
            <w:bookmarkEnd w:id="3"/>
            <w:r w:rsidR="00364EA9" w:rsidRPr="00CE4BA5">
              <w:rPr>
                <w:rFonts w:asciiTheme="majorHAnsi" w:hAnsiTheme="majorHAnsi" w:cstheme="majorHAnsi"/>
                <w:bCs/>
                <w:spacing w:val="-3"/>
                <w:sz w:val="16"/>
                <w:szCs w:val="16"/>
              </w:rPr>
              <w:t>interesado en este tipo de estrategia, puede invertir en este fondo si la estrategia propuesta se ajusta a sus expectativas.</w:t>
            </w:r>
          </w:p>
        </w:tc>
      </w:tr>
      <w:tr w:rsidR="00D61002" w:rsidRPr="008A0E23" w14:paraId="2E6C5AAC" w14:textId="77777777" w:rsidTr="00C80E01">
        <w:trPr>
          <w:trHeight w:val="315"/>
        </w:trPr>
        <w:tc>
          <w:tcPr>
            <w:tcW w:w="2400" w:type="dxa"/>
            <w:tcBorders>
              <w:top w:val="single" w:sz="8" w:space="0" w:color="auto"/>
              <w:left w:val="single" w:sz="8" w:space="0" w:color="auto"/>
              <w:bottom w:val="single" w:sz="8" w:space="0" w:color="auto"/>
              <w:right w:val="single" w:sz="8" w:space="0" w:color="auto"/>
            </w:tcBorders>
            <w:shd w:val="clear" w:color="auto" w:fill="auto"/>
            <w:noWrap/>
          </w:tcPr>
          <w:p w14:paraId="72324D30" w14:textId="75066144" w:rsidR="00D61002" w:rsidRPr="008A0E23" w:rsidRDefault="00D61002" w:rsidP="00916E9B">
            <w:pPr>
              <w:tabs>
                <w:tab w:val="left" w:pos="0"/>
              </w:tabs>
              <w:spacing w:after="0" w:line="240" w:lineRule="auto"/>
              <w:ind w:right="51"/>
              <w:jc w:val="both"/>
              <w:rPr>
                <w:rFonts w:asciiTheme="majorHAnsi" w:hAnsiTheme="majorHAnsi" w:cstheme="majorHAnsi"/>
                <w:b/>
                <w:spacing w:val="-3"/>
                <w:sz w:val="16"/>
                <w:szCs w:val="16"/>
              </w:rPr>
            </w:pPr>
            <w:r w:rsidRPr="008A0E23">
              <w:rPr>
                <w:rFonts w:asciiTheme="majorHAnsi" w:hAnsiTheme="majorHAnsi" w:cstheme="majorHAnsi"/>
                <w:b/>
                <w:spacing w:val="-3"/>
                <w:sz w:val="16"/>
                <w:szCs w:val="16"/>
              </w:rPr>
              <w:t>Duración de la Inversión y Negociabilidad de las Participaciones</w:t>
            </w:r>
          </w:p>
        </w:tc>
        <w:tc>
          <w:tcPr>
            <w:tcW w:w="6531" w:type="dxa"/>
            <w:tcBorders>
              <w:top w:val="single" w:sz="8" w:space="0" w:color="auto"/>
              <w:left w:val="nil"/>
              <w:bottom w:val="single" w:sz="8" w:space="0" w:color="auto"/>
              <w:right w:val="single" w:sz="8" w:space="0" w:color="auto"/>
            </w:tcBorders>
            <w:shd w:val="clear" w:color="auto" w:fill="auto"/>
            <w:noWrap/>
          </w:tcPr>
          <w:p w14:paraId="0EC81F7B" w14:textId="15118B87" w:rsidR="00D61002" w:rsidRPr="008A0E23" w:rsidRDefault="00D61002" w:rsidP="00D61002">
            <w:pPr>
              <w:jc w:val="both"/>
              <w:rPr>
                <w:rFonts w:asciiTheme="majorHAnsi" w:hAnsiTheme="majorHAnsi" w:cstheme="majorHAnsi"/>
                <w:bCs/>
                <w:spacing w:val="-3"/>
                <w:sz w:val="16"/>
                <w:szCs w:val="16"/>
              </w:rPr>
            </w:pPr>
            <w:r w:rsidRPr="008A0E23">
              <w:rPr>
                <w:rFonts w:asciiTheme="majorHAnsi" w:hAnsiTheme="majorHAnsi" w:cstheme="majorHAnsi"/>
                <w:bCs/>
                <w:spacing w:val="-3"/>
                <w:sz w:val="16"/>
                <w:szCs w:val="16"/>
                <w:u w:val="single"/>
              </w:rPr>
              <w:t>El Fondo</w:t>
            </w:r>
            <w:r w:rsidR="00364EA9" w:rsidRPr="008A0E23">
              <w:rPr>
                <w:rFonts w:asciiTheme="majorHAnsi" w:hAnsiTheme="majorHAnsi" w:cstheme="majorHAnsi"/>
                <w:bCs/>
                <w:spacing w:val="-3"/>
                <w:sz w:val="16"/>
                <w:szCs w:val="16"/>
                <w:u w:val="single"/>
              </w:rPr>
              <w:t xml:space="preserve"> 1525</w:t>
            </w:r>
            <w:r w:rsidR="00621DBB">
              <w:rPr>
                <w:rFonts w:asciiTheme="majorHAnsi" w:hAnsiTheme="majorHAnsi" w:cstheme="majorHAnsi"/>
                <w:bCs/>
                <w:spacing w:val="-3"/>
                <w:sz w:val="16"/>
                <w:szCs w:val="16"/>
                <w:u w:val="single"/>
              </w:rPr>
              <w:t xml:space="preserve"> Plus</w:t>
            </w:r>
            <w:r w:rsidRPr="008A0E23">
              <w:rPr>
                <w:rFonts w:asciiTheme="majorHAnsi" w:hAnsiTheme="majorHAnsi" w:cstheme="majorHAnsi"/>
                <w:bCs/>
                <w:spacing w:val="-3"/>
                <w:sz w:val="16"/>
                <w:szCs w:val="16"/>
              </w:rPr>
              <w:t xml:space="preserve"> </w:t>
            </w:r>
            <w:r w:rsidR="00364EA9" w:rsidRPr="008A0E23">
              <w:rPr>
                <w:rFonts w:asciiTheme="majorHAnsi" w:hAnsiTheme="majorHAnsi" w:cstheme="majorHAnsi"/>
                <w:bCs/>
                <w:spacing w:val="-3"/>
                <w:sz w:val="16"/>
                <w:szCs w:val="16"/>
              </w:rPr>
              <w:t>tendrá una duración igual al de la sociedad administradora. El término de duración de la sociedad administradora se dará a conocer a través del prospecto de inversión.</w:t>
            </w:r>
          </w:p>
        </w:tc>
      </w:tr>
      <w:bookmarkEnd w:id="2"/>
      <w:tr w:rsidR="00916E9B" w:rsidRPr="008A0E23" w14:paraId="33632D05" w14:textId="77777777" w:rsidTr="00C80E01">
        <w:trPr>
          <w:trHeight w:val="315"/>
        </w:trPr>
        <w:tc>
          <w:tcPr>
            <w:tcW w:w="2400" w:type="dxa"/>
            <w:tcBorders>
              <w:top w:val="single" w:sz="8" w:space="0" w:color="auto"/>
              <w:left w:val="single" w:sz="8" w:space="0" w:color="auto"/>
              <w:bottom w:val="single" w:sz="8" w:space="0" w:color="auto"/>
              <w:right w:val="single" w:sz="8" w:space="0" w:color="auto"/>
            </w:tcBorders>
            <w:shd w:val="clear" w:color="auto" w:fill="auto"/>
            <w:noWrap/>
            <w:hideMark/>
          </w:tcPr>
          <w:p w14:paraId="3CA2732E" w14:textId="77777777" w:rsidR="00916E9B" w:rsidRPr="008A0E23" w:rsidRDefault="00916E9B" w:rsidP="00916E9B">
            <w:pPr>
              <w:tabs>
                <w:tab w:val="left" w:pos="0"/>
              </w:tabs>
              <w:spacing w:after="0" w:line="240" w:lineRule="auto"/>
              <w:ind w:right="51"/>
              <w:jc w:val="both"/>
              <w:rPr>
                <w:rFonts w:asciiTheme="majorHAnsi" w:hAnsiTheme="majorHAnsi" w:cstheme="majorHAnsi"/>
                <w:b/>
                <w:spacing w:val="-3"/>
                <w:sz w:val="16"/>
                <w:szCs w:val="16"/>
              </w:rPr>
            </w:pPr>
            <w:r w:rsidRPr="008A0E23">
              <w:rPr>
                <w:rFonts w:asciiTheme="majorHAnsi" w:hAnsiTheme="majorHAnsi" w:cstheme="majorHAnsi"/>
                <w:b/>
                <w:spacing w:val="-3"/>
                <w:sz w:val="16"/>
                <w:szCs w:val="16"/>
              </w:rPr>
              <w:t>Sociedad Administradora</w:t>
            </w:r>
          </w:p>
        </w:tc>
        <w:tc>
          <w:tcPr>
            <w:tcW w:w="6531" w:type="dxa"/>
            <w:tcBorders>
              <w:top w:val="single" w:sz="8" w:space="0" w:color="auto"/>
              <w:left w:val="nil"/>
              <w:bottom w:val="single" w:sz="8" w:space="0" w:color="auto"/>
              <w:right w:val="single" w:sz="8" w:space="0" w:color="auto"/>
            </w:tcBorders>
            <w:shd w:val="clear" w:color="auto" w:fill="auto"/>
            <w:noWrap/>
            <w:hideMark/>
          </w:tcPr>
          <w:p w14:paraId="3F296DB9" w14:textId="00E388CE" w:rsidR="00916E9B" w:rsidRPr="008A0E23" w:rsidRDefault="00916E9B" w:rsidP="00916E9B">
            <w:pPr>
              <w:tabs>
                <w:tab w:val="left" w:pos="0"/>
              </w:tabs>
              <w:spacing w:after="0" w:line="240" w:lineRule="auto"/>
              <w:ind w:right="51"/>
              <w:jc w:val="both"/>
              <w:rPr>
                <w:rFonts w:asciiTheme="majorHAnsi" w:hAnsiTheme="majorHAnsi" w:cstheme="majorHAnsi"/>
                <w:bCs/>
                <w:spacing w:val="-3"/>
                <w:sz w:val="16"/>
                <w:szCs w:val="16"/>
              </w:rPr>
            </w:pPr>
            <w:r w:rsidRPr="008A0E23">
              <w:rPr>
                <w:rFonts w:asciiTheme="majorHAnsi" w:hAnsiTheme="majorHAnsi" w:cstheme="majorHAnsi"/>
                <w:bCs/>
                <w:spacing w:val="-3"/>
                <w:sz w:val="16"/>
                <w:szCs w:val="16"/>
              </w:rPr>
              <w:t xml:space="preserve">Es la Fiduciaria </w:t>
            </w:r>
            <w:r w:rsidR="00364EA9" w:rsidRPr="008A0E23">
              <w:rPr>
                <w:rFonts w:asciiTheme="majorHAnsi" w:hAnsiTheme="majorHAnsi" w:cstheme="majorHAnsi"/>
                <w:bCs/>
                <w:spacing w:val="-3"/>
                <w:sz w:val="16"/>
                <w:szCs w:val="16"/>
              </w:rPr>
              <w:t>Corficolombiana</w:t>
            </w:r>
            <w:r w:rsidRPr="008A0E23">
              <w:rPr>
                <w:rFonts w:asciiTheme="majorHAnsi" w:hAnsiTheme="majorHAnsi" w:cstheme="majorHAnsi"/>
                <w:bCs/>
                <w:spacing w:val="-3"/>
                <w:sz w:val="16"/>
                <w:szCs w:val="16"/>
              </w:rPr>
              <w:t xml:space="preserve">, entidad vigilada por la Superintendencia Financiera. Sus funciones, obligaciones, facultades, derechos y responsabilidades están descritas en el </w:t>
            </w:r>
            <w:r w:rsidR="00364EA9" w:rsidRPr="008A0E23">
              <w:rPr>
                <w:rFonts w:asciiTheme="majorHAnsi" w:hAnsiTheme="majorHAnsi" w:cstheme="majorHAnsi"/>
                <w:bCs/>
                <w:spacing w:val="-3"/>
                <w:sz w:val="16"/>
                <w:szCs w:val="16"/>
              </w:rPr>
              <w:t xml:space="preserve">Capítulo </w:t>
            </w:r>
            <w:proofErr w:type="gramStart"/>
            <w:r w:rsidR="00364EA9" w:rsidRPr="008A0E23">
              <w:rPr>
                <w:rFonts w:asciiTheme="majorHAnsi" w:hAnsiTheme="majorHAnsi" w:cstheme="majorHAnsi"/>
                <w:bCs/>
                <w:spacing w:val="-3"/>
                <w:sz w:val="16"/>
                <w:szCs w:val="16"/>
              </w:rPr>
              <w:t>III</w:t>
            </w:r>
            <w:r w:rsidR="004F0D2D" w:rsidRPr="008A0E23">
              <w:rPr>
                <w:rFonts w:asciiTheme="majorHAnsi" w:hAnsiTheme="majorHAnsi" w:cstheme="majorHAnsi"/>
                <w:bCs/>
                <w:spacing w:val="-3"/>
                <w:sz w:val="16"/>
                <w:szCs w:val="16"/>
              </w:rPr>
              <w:t xml:space="preserve"> </w:t>
            </w:r>
            <w:r w:rsidR="00364EA9" w:rsidRPr="008A0E23">
              <w:rPr>
                <w:rFonts w:asciiTheme="majorHAnsi" w:hAnsiTheme="majorHAnsi" w:cstheme="majorHAnsi"/>
                <w:bCs/>
                <w:spacing w:val="-3"/>
                <w:sz w:val="16"/>
                <w:szCs w:val="16"/>
              </w:rPr>
              <w:t>.</w:t>
            </w:r>
            <w:proofErr w:type="gramEnd"/>
            <w:r w:rsidR="00364EA9" w:rsidRPr="008A0E23">
              <w:rPr>
                <w:rFonts w:asciiTheme="majorHAnsi" w:hAnsiTheme="majorHAnsi" w:cstheme="majorHAnsi"/>
                <w:bCs/>
                <w:spacing w:val="-3"/>
                <w:sz w:val="16"/>
                <w:szCs w:val="16"/>
              </w:rPr>
              <w:t xml:space="preserve">- Órganos de Administración, Gestión y Control del Fondo de Inversión Colectiva .- del </w:t>
            </w:r>
            <w:r w:rsidRPr="008A0E23">
              <w:rPr>
                <w:rFonts w:asciiTheme="majorHAnsi" w:hAnsiTheme="majorHAnsi" w:cstheme="majorHAnsi"/>
                <w:bCs/>
                <w:spacing w:val="-3"/>
                <w:sz w:val="16"/>
                <w:szCs w:val="16"/>
              </w:rPr>
              <w:t xml:space="preserve">reglamento de </w:t>
            </w:r>
            <w:r w:rsidRPr="008A0E23">
              <w:rPr>
                <w:rFonts w:asciiTheme="majorHAnsi" w:hAnsiTheme="majorHAnsi" w:cstheme="majorHAnsi"/>
                <w:bCs/>
                <w:spacing w:val="-3"/>
                <w:sz w:val="16"/>
                <w:szCs w:val="16"/>
                <w:u w:val="single"/>
              </w:rPr>
              <w:t>El Fondo</w:t>
            </w:r>
            <w:r w:rsidR="00364EA9" w:rsidRPr="008A0E23">
              <w:rPr>
                <w:rFonts w:asciiTheme="majorHAnsi" w:hAnsiTheme="majorHAnsi" w:cstheme="majorHAnsi"/>
                <w:bCs/>
                <w:spacing w:val="-3"/>
                <w:sz w:val="16"/>
                <w:szCs w:val="16"/>
                <w:u w:val="single"/>
              </w:rPr>
              <w:t xml:space="preserve"> 1525</w:t>
            </w:r>
            <w:r w:rsidR="00621DBB">
              <w:rPr>
                <w:rFonts w:asciiTheme="majorHAnsi" w:hAnsiTheme="majorHAnsi" w:cstheme="majorHAnsi"/>
                <w:bCs/>
                <w:spacing w:val="-3"/>
                <w:sz w:val="16"/>
                <w:szCs w:val="16"/>
                <w:u w:val="single"/>
              </w:rPr>
              <w:t xml:space="preserve"> Plus</w:t>
            </w:r>
            <w:r w:rsidRPr="008A0E23">
              <w:rPr>
                <w:rFonts w:asciiTheme="majorHAnsi" w:hAnsiTheme="majorHAnsi" w:cstheme="majorHAnsi"/>
                <w:bCs/>
                <w:spacing w:val="-3"/>
                <w:sz w:val="16"/>
                <w:szCs w:val="16"/>
              </w:rPr>
              <w:t>, recom</w:t>
            </w:r>
            <w:r w:rsidR="00656A79" w:rsidRPr="008A0E23">
              <w:rPr>
                <w:rFonts w:asciiTheme="majorHAnsi" w:hAnsiTheme="majorHAnsi" w:cstheme="majorHAnsi"/>
                <w:bCs/>
                <w:spacing w:val="-3"/>
                <w:sz w:val="16"/>
                <w:szCs w:val="16"/>
              </w:rPr>
              <w:t xml:space="preserve">endando </w:t>
            </w:r>
            <w:r w:rsidRPr="008A0E23">
              <w:rPr>
                <w:rFonts w:asciiTheme="majorHAnsi" w:hAnsiTheme="majorHAnsi" w:cstheme="majorHAnsi"/>
                <w:bCs/>
                <w:spacing w:val="-3"/>
                <w:sz w:val="16"/>
                <w:szCs w:val="16"/>
              </w:rPr>
              <w:t xml:space="preserve">la lectura de </w:t>
            </w:r>
            <w:r w:rsidR="00656A79" w:rsidRPr="008A0E23">
              <w:rPr>
                <w:rFonts w:asciiTheme="majorHAnsi" w:hAnsiTheme="majorHAnsi" w:cstheme="majorHAnsi"/>
                <w:bCs/>
                <w:spacing w:val="-3"/>
                <w:sz w:val="16"/>
                <w:szCs w:val="16"/>
              </w:rPr>
              <w:t xml:space="preserve">este capítulo para obtener una mayor comprensión. </w:t>
            </w:r>
          </w:p>
        </w:tc>
      </w:tr>
      <w:tr w:rsidR="00916E9B" w:rsidRPr="008A0E23" w14:paraId="496D8174" w14:textId="77777777" w:rsidTr="00C80E01">
        <w:trPr>
          <w:trHeight w:val="315"/>
        </w:trPr>
        <w:tc>
          <w:tcPr>
            <w:tcW w:w="2400" w:type="dxa"/>
            <w:tcBorders>
              <w:top w:val="single" w:sz="8" w:space="0" w:color="auto"/>
              <w:left w:val="single" w:sz="8" w:space="0" w:color="auto"/>
              <w:bottom w:val="single" w:sz="8" w:space="0" w:color="auto"/>
              <w:right w:val="single" w:sz="8" w:space="0" w:color="auto"/>
            </w:tcBorders>
            <w:shd w:val="clear" w:color="auto" w:fill="auto"/>
            <w:noWrap/>
          </w:tcPr>
          <w:p w14:paraId="097614F2" w14:textId="77777777" w:rsidR="00916E9B" w:rsidRPr="008A0E23" w:rsidRDefault="00916E9B" w:rsidP="00916E9B">
            <w:pPr>
              <w:tabs>
                <w:tab w:val="left" w:pos="0"/>
              </w:tabs>
              <w:spacing w:after="0" w:line="240" w:lineRule="auto"/>
              <w:ind w:right="51"/>
              <w:jc w:val="both"/>
              <w:rPr>
                <w:rFonts w:asciiTheme="majorHAnsi" w:hAnsiTheme="majorHAnsi" w:cstheme="majorHAnsi"/>
                <w:b/>
                <w:spacing w:val="-3"/>
                <w:sz w:val="16"/>
                <w:szCs w:val="16"/>
              </w:rPr>
            </w:pPr>
            <w:r w:rsidRPr="008A0E23">
              <w:rPr>
                <w:rFonts w:asciiTheme="majorHAnsi" w:hAnsiTheme="majorHAnsi" w:cstheme="majorHAnsi"/>
                <w:b/>
                <w:spacing w:val="-3"/>
                <w:sz w:val="16"/>
                <w:szCs w:val="16"/>
              </w:rPr>
              <w:t>Distribuidor Especializado</w:t>
            </w:r>
          </w:p>
        </w:tc>
        <w:tc>
          <w:tcPr>
            <w:tcW w:w="6531" w:type="dxa"/>
            <w:tcBorders>
              <w:top w:val="single" w:sz="8" w:space="0" w:color="auto"/>
              <w:left w:val="nil"/>
              <w:bottom w:val="single" w:sz="8" w:space="0" w:color="auto"/>
              <w:right w:val="single" w:sz="8" w:space="0" w:color="auto"/>
            </w:tcBorders>
            <w:shd w:val="clear" w:color="auto" w:fill="auto"/>
            <w:noWrap/>
          </w:tcPr>
          <w:p w14:paraId="120E4B5A" w14:textId="77777777" w:rsidR="00916E9B" w:rsidRPr="008A0E23" w:rsidRDefault="00916E9B" w:rsidP="00916E9B">
            <w:pPr>
              <w:tabs>
                <w:tab w:val="left" w:pos="0"/>
              </w:tabs>
              <w:spacing w:after="0" w:line="240" w:lineRule="auto"/>
              <w:ind w:right="51"/>
              <w:jc w:val="both"/>
              <w:rPr>
                <w:rFonts w:asciiTheme="majorHAnsi" w:hAnsiTheme="majorHAnsi" w:cstheme="majorHAnsi"/>
                <w:bCs/>
                <w:spacing w:val="-3"/>
                <w:sz w:val="16"/>
                <w:szCs w:val="16"/>
              </w:rPr>
            </w:pPr>
            <w:r w:rsidRPr="008A0E23">
              <w:rPr>
                <w:rFonts w:asciiTheme="majorHAnsi" w:hAnsiTheme="majorHAnsi" w:cstheme="majorHAnsi"/>
                <w:bCs/>
                <w:spacing w:val="-3"/>
                <w:sz w:val="16"/>
                <w:szCs w:val="16"/>
              </w:rPr>
              <w:t>Es Casa de Bolsa S.A. Sociedad Comisionista de Bolsa, en virtud del contrato de distribución especializada a través de cuentas ómnibus, suscrito con la Sociedad Administradora.</w:t>
            </w:r>
          </w:p>
        </w:tc>
      </w:tr>
      <w:tr w:rsidR="00916E9B" w:rsidRPr="008A0E23" w14:paraId="1A2B38F0" w14:textId="77777777" w:rsidTr="00C80E01">
        <w:trPr>
          <w:trHeight w:val="315"/>
        </w:trPr>
        <w:tc>
          <w:tcPr>
            <w:tcW w:w="2400" w:type="dxa"/>
            <w:tcBorders>
              <w:top w:val="single" w:sz="8" w:space="0" w:color="auto"/>
              <w:left w:val="single" w:sz="8" w:space="0" w:color="auto"/>
              <w:bottom w:val="single" w:sz="8" w:space="0" w:color="auto"/>
              <w:right w:val="single" w:sz="8" w:space="0" w:color="auto"/>
            </w:tcBorders>
            <w:shd w:val="clear" w:color="auto" w:fill="auto"/>
            <w:noWrap/>
          </w:tcPr>
          <w:p w14:paraId="090C1D1B" w14:textId="77777777" w:rsidR="00916E9B" w:rsidRPr="008A0E23" w:rsidRDefault="00916E9B" w:rsidP="00916E9B">
            <w:pPr>
              <w:tabs>
                <w:tab w:val="left" w:pos="0"/>
              </w:tabs>
              <w:spacing w:after="0" w:line="240" w:lineRule="auto"/>
              <w:ind w:right="51"/>
              <w:jc w:val="both"/>
              <w:rPr>
                <w:rFonts w:asciiTheme="majorHAnsi" w:hAnsiTheme="majorHAnsi" w:cstheme="majorHAnsi"/>
                <w:b/>
                <w:spacing w:val="-3"/>
                <w:sz w:val="16"/>
                <w:szCs w:val="16"/>
              </w:rPr>
            </w:pPr>
            <w:r w:rsidRPr="008A0E23">
              <w:rPr>
                <w:rFonts w:asciiTheme="majorHAnsi" w:hAnsiTheme="majorHAnsi" w:cstheme="majorHAnsi"/>
                <w:b/>
                <w:spacing w:val="-3"/>
                <w:sz w:val="16"/>
                <w:szCs w:val="16"/>
              </w:rPr>
              <w:t>De la Sociedad Administradora y el Distribuidor Especializado</w:t>
            </w:r>
          </w:p>
        </w:tc>
        <w:tc>
          <w:tcPr>
            <w:tcW w:w="6531" w:type="dxa"/>
            <w:tcBorders>
              <w:top w:val="single" w:sz="8" w:space="0" w:color="auto"/>
              <w:left w:val="nil"/>
              <w:bottom w:val="single" w:sz="8" w:space="0" w:color="auto"/>
              <w:right w:val="single" w:sz="8" w:space="0" w:color="auto"/>
            </w:tcBorders>
            <w:shd w:val="clear" w:color="auto" w:fill="auto"/>
            <w:noWrap/>
          </w:tcPr>
          <w:p w14:paraId="30C53FBE" w14:textId="595EFF82" w:rsidR="00916E9B" w:rsidRPr="008A0E23" w:rsidRDefault="00916E9B" w:rsidP="00916E9B">
            <w:pPr>
              <w:tabs>
                <w:tab w:val="left" w:pos="0"/>
              </w:tabs>
              <w:spacing w:after="0" w:line="240" w:lineRule="auto"/>
              <w:ind w:right="51"/>
              <w:jc w:val="both"/>
              <w:rPr>
                <w:rFonts w:asciiTheme="majorHAnsi" w:hAnsiTheme="majorHAnsi" w:cstheme="majorHAnsi"/>
                <w:bCs/>
                <w:spacing w:val="-3"/>
                <w:sz w:val="16"/>
                <w:szCs w:val="16"/>
              </w:rPr>
            </w:pPr>
            <w:r w:rsidRPr="008A0E23">
              <w:rPr>
                <w:rFonts w:asciiTheme="majorHAnsi" w:hAnsiTheme="majorHAnsi" w:cstheme="majorHAnsi"/>
                <w:bCs/>
                <w:spacing w:val="-3"/>
                <w:sz w:val="16"/>
                <w:szCs w:val="16"/>
              </w:rPr>
              <w:t xml:space="preserve">La Sociedad Administradora y el Distribuidor Especializado son entidades que forman parte del Conglomerado Financiero </w:t>
            </w:r>
            <w:r w:rsidR="00730D35" w:rsidRPr="008A0E23">
              <w:rPr>
                <w:rFonts w:asciiTheme="majorHAnsi" w:hAnsiTheme="majorHAnsi" w:cstheme="majorHAnsi"/>
                <w:bCs/>
                <w:spacing w:val="-3"/>
                <w:sz w:val="16"/>
                <w:szCs w:val="16"/>
              </w:rPr>
              <w:t xml:space="preserve">Grupo </w:t>
            </w:r>
            <w:r w:rsidRPr="008A0E23">
              <w:rPr>
                <w:rFonts w:asciiTheme="majorHAnsi" w:hAnsiTheme="majorHAnsi" w:cstheme="majorHAnsi"/>
                <w:bCs/>
                <w:spacing w:val="-3"/>
                <w:sz w:val="16"/>
                <w:szCs w:val="16"/>
              </w:rPr>
              <w:t>Aval.</w:t>
            </w:r>
          </w:p>
        </w:tc>
      </w:tr>
    </w:tbl>
    <w:p w14:paraId="15856EAA" w14:textId="26BEAD6D" w:rsidR="00916E9B" w:rsidRPr="008A0E23" w:rsidRDefault="00916E9B" w:rsidP="00916E9B">
      <w:pPr>
        <w:tabs>
          <w:tab w:val="left" w:pos="0"/>
        </w:tabs>
        <w:spacing w:after="0" w:line="240" w:lineRule="auto"/>
        <w:ind w:right="51"/>
        <w:jc w:val="both"/>
        <w:rPr>
          <w:rFonts w:asciiTheme="majorHAnsi" w:hAnsiTheme="majorHAnsi" w:cstheme="majorHAnsi"/>
          <w:b/>
          <w:spacing w:val="-3"/>
          <w:sz w:val="16"/>
          <w:szCs w:val="16"/>
        </w:rPr>
      </w:pPr>
    </w:p>
    <w:p w14:paraId="7C0FE6DE" w14:textId="2B064702" w:rsidR="006F1328" w:rsidRPr="008A0E23" w:rsidRDefault="006F1328" w:rsidP="00916E9B">
      <w:pPr>
        <w:tabs>
          <w:tab w:val="left" w:pos="0"/>
        </w:tabs>
        <w:spacing w:after="0" w:line="240" w:lineRule="auto"/>
        <w:ind w:right="51"/>
        <w:jc w:val="both"/>
        <w:rPr>
          <w:rFonts w:asciiTheme="majorHAnsi" w:hAnsiTheme="majorHAnsi" w:cstheme="majorHAnsi"/>
          <w:b/>
          <w:spacing w:val="-3"/>
          <w:sz w:val="16"/>
          <w:szCs w:val="16"/>
        </w:rPr>
      </w:pPr>
    </w:p>
    <w:p w14:paraId="384483D3" w14:textId="34630183" w:rsidR="00D536EC" w:rsidRDefault="000B747C" w:rsidP="006F1328">
      <w:pPr>
        <w:pStyle w:val="Prrafodelista"/>
        <w:numPr>
          <w:ilvl w:val="0"/>
          <w:numId w:val="4"/>
        </w:numPr>
        <w:tabs>
          <w:tab w:val="left" w:pos="0"/>
        </w:tabs>
        <w:spacing w:after="0" w:line="240" w:lineRule="auto"/>
        <w:ind w:right="51"/>
        <w:jc w:val="both"/>
        <w:rPr>
          <w:rFonts w:asciiTheme="majorHAnsi" w:hAnsiTheme="majorHAnsi" w:cstheme="majorHAnsi"/>
          <w:b/>
          <w:spacing w:val="-3"/>
          <w:sz w:val="16"/>
          <w:szCs w:val="16"/>
        </w:rPr>
      </w:pPr>
      <w:r>
        <w:rPr>
          <w:rFonts w:asciiTheme="majorHAnsi" w:hAnsiTheme="majorHAnsi" w:cstheme="majorHAnsi"/>
          <w:b/>
          <w:spacing w:val="-3"/>
          <w:sz w:val="16"/>
          <w:szCs w:val="16"/>
          <w:u w:val="single"/>
        </w:rPr>
        <w:t>Política de Inversión, Participaciones y Redenciones</w:t>
      </w:r>
      <w:r w:rsidR="00D536EC">
        <w:rPr>
          <w:rFonts w:asciiTheme="majorHAnsi" w:hAnsiTheme="majorHAnsi" w:cstheme="majorHAnsi"/>
          <w:b/>
          <w:spacing w:val="-3"/>
          <w:sz w:val="16"/>
          <w:szCs w:val="16"/>
        </w:rPr>
        <w:t>:</w:t>
      </w:r>
    </w:p>
    <w:p w14:paraId="32B83B54" w14:textId="18C57FB5" w:rsidR="00D536EC" w:rsidRDefault="00D536EC" w:rsidP="00D536EC">
      <w:pPr>
        <w:tabs>
          <w:tab w:val="left" w:pos="0"/>
        </w:tabs>
        <w:spacing w:after="0" w:line="240" w:lineRule="auto"/>
        <w:ind w:right="51"/>
        <w:jc w:val="both"/>
        <w:rPr>
          <w:rFonts w:asciiTheme="majorHAnsi" w:hAnsiTheme="majorHAnsi" w:cstheme="majorHAnsi"/>
          <w:b/>
          <w:spacing w:val="-3"/>
          <w:sz w:val="16"/>
          <w:szCs w:val="16"/>
        </w:rPr>
      </w:pPr>
    </w:p>
    <w:p w14:paraId="6BC0F793" w14:textId="64E6C4C7" w:rsidR="00D536EC" w:rsidRDefault="00D536EC" w:rsidP="00D536EC">
      <w:pPr>
        <w:tabs>
          <w:tab w:val="left" w:pos="0"/>
        </w:tabs>
        <w:spacing w:after="0" w:line="240" w:lineRule="auto"/>
        <w:ind w:right="51"/>
        <w:jc w:val="both"/>
        <w:rPr>
          <w:rFonts w:asciiTheme="majorHAnsi" w:hAnsiTheme="majorHAnsi" w:cstheme="majorHAnsi"/>
          <w:b/>
          <w:spacing w:val="-3"/>
          <w:sz w:val="16"/>
          <w:szCs w:val="16"/>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3"/>
        <w:gridCol w:w="6415"/>
      </w:tblGrid>
      <w:tr w:rsidR="00D536EC" w14:paraId="70CF5DE9" w14:textId="77777777" w:rsidTr="00D536EC">
        <w:tc>
          <w:tcPr>
            <w:tcW w:w="2405" w:type="dxa"/>
          </w:tcPr>
          <w:p w14:paraId="267E5441" w14:textId="7BCDBC3E" w:rsidR="00D536EC" w:rsidRDefault="00D536EC" w:rsidP="00D536EC">
            <w:pPr>
              <w:tabs>
                <w:tab w:val="left" w:pos="0"/>
              </w:tabs>
              <w:ind w:right="51"/>
              <w:jc w:val="both"/>
              <w:rPr>
                <w:rFonts w:asciiTheme="majorHAnsi" w:hAnsiTheme="majorHAnsi" w:cstheme="majorHAnsi"/>
                <w:b/>
                <w:spacing w:val="-3"/>
                <w:sz w:val="16"/>
                <w:szCs w:val="16"/>
              </w:rPr>
            </w:pPr>
            <w:r>
              <w:rPr>
                <w:rFonts w:asciiTheme="majorHAnsi" w:hAnsiTheme="majorHAnsi" w:cstheme="majorHAnsi"/>
                <w:b/>
                <w:spacing w:val="-3"/>
                <w:sz w:val="16"/>
                <w:szCs w:val="16"/>
              </w:rPr>
              <w:t xml:space="preserve">Política de Inversión: </w:t>
            </w:r>
          </w:p>
        </w:tc>
        <w:tc>
          <w:tcPr>
            <w:tcW w:w="6423" w:type="dxa"/>
          </w:tcPr>
          <w:p w14:paraId="2875B8CE" w14:textId="62542ADD" w:rsidR="000B747C" w:rsidRDefault="000B747C" w:rsidP="000B747C">
            <w:pPr>
              <w:tabs>
                <w:tab w:val="left" w:pos="0"/>
              </w:tabs>
              <w:ind w:right="51"/>
              <w:jc w:val="both"/>
              <w:rPr>
                <w:rFonts w:asciiTheme="majorHAnsi" w:hAnsiTheme="majorHAnsi" w:cstheme="majorHAnsi"/>
                <w:bCs/>
                <w:spacing w:val="-3"/>
                <w:sz w:val="16"/>
                <w:szCs w:val="16"/>
              </w:rPr>
            </w:pPr>
            <w:r w:rsidRPr="000B747C">
              <w:rPr>
                <w:rFonts w:asciiTheme="majorHAnsi" w:hAnsiTheme="majorHAnsi" w:cstheme="majorHAnsi"/>
                <w:bCs/>
                <w:spacing w:val="-3"/>
                <w:sz w:val="16"/>
                <w:szCs w:val="16"/>
              </w:rPr>
              <w:t>El portafolio de</w:t>
            </w:r>
            <w:r>
              <w:rPr>
                <w:rFonts w:asciiTheme="majorHAnsi" w:hAnsiTheme="majorHAnsi" w:cstheme="majorHAnsi"/>
                <w:bCs/>
                <w:spacing w:val="-3"/>
                <w:sz w:val="16"/>
                <w:szCs w:val="16"/>
              </w:rPr>
              <w:t xml:space="preserve"> </w:t>
            </w:r>
            <w:r w:rsidRPr="000B747C">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Pr>
                <w:rFonts w:asciiTheme="majorHAnsi" w:hAnsiTheme="majorHAnsi" w:cstheme="majorHAnsi"/>
                <w:bCs/>
                <w:spacing w:val="-3"/>
                <w:sz w:val="16"/>
                <w:szCs w:val="16"/>
              </w:rPr>
              <w:t xml:space="preserve"> </w:t>
            </w:r>
            <w:r w:rsidRPr="000B747C">
              <w:rPr>
                <w:rFonts w:asciiTheme="majorHAnsi" w:hAnsiTheme="majorHAnsi" w:cstheme="majorHAnsi"/>
                <w:bCs/>
                <w:spacing w:val="-3"/>
                <w:sz w:val="16"/>
                <w:szCs w:val="16"/>
              </w:rPr>
              <w:t>estará compuesto exclusivamente por los siguientes activos de acuerdo con lo establecido en el Libro 2, Parte 3, Título 3 del Decreto 1068 de 2015 y demás normas que lo modifiquen o complementen:</w:t>
            </w:r>
          </w:p>
          <w:p w14:paraId="275AA9EF" w14:textId="77777777" w:rsidR="000B747C" w:rsidRPr="000B747C" w:rsidRDefault="000B747C" w:rsidP="000B747C">
            <w:pPr>
              <w:tabs>
                <w:tab w:val="left" w:pos="0"/>
              </w:tabs>
              <w:ind w:right="51"/>
              <w:jc w:val="both"/>
              <w:rPr>
                <w:rFonts w:asciiTheme="majorHAnsi" w:hAnsiTheme="majorHAnsi" w:cstheme="majorHAnsi"/>
                <w:bCs/>
                <w:spacing w:val="-3"/>
                <w:sz w:val="16"/>
                <w:szCs w:val="16"/>
              </w:rPr>
            </w:pPr>
          </w:p>
          <w:p w14:paraId="12E301D7" w14:textId="1DE4CA62" w:rsidR="000B747C" w:rsidRPr="000B747C" w:rsidRDefault="000B747C" w:rsidP="000B747C">
            <w:pPr>
              <w:pStyle w:val="Prrafodelista"/>
              <w:numPr>
                <w:ilvl w:val="0"/>
                <w:numId w:val="13"/>
              </w:numPr>
              <w:tabs>
                <w:tab w:val="left" w:pos="0"/>
              </w:tabs>
              <w:ind w:right="51"/>
              <w:jc w:val="both"/>
              <w:rPr>
                <w:rFonts w:asciiTheme="majorHAnsi" w:hAnsiTheme="majorHAnsi" w:cstheme="majorHAnsi"/>
                <w:bCs/>
                <w:spacing w:val="-3"/>
                <w:sz w:val="16"/>
                <w:szCs w:val="16"/>
              </w:rPr>
            </w:pPr>
            <w:r w:rsidRPr="000B747C">
              <w:rPr>
                <w:rFonts w:asciiTheme="majorHAnsi" w:hAnsiTheme="majorHAnsi" w:cstheme="majorHAnsi"/>
                <w:bCs/>
                <w:spacing w:val="-3"/>
                <w:sz w:val="16"/>
                <w:szCs w:val="16"/>
              </w:rPr>
              <w:t xml:space="preserve">Títulos de Tesorería TES, clase “B”, tasa fija o indexados a la UVR, del mercado primario directamente ante la DGCPTN o en el mercado secundario en condiciones de mercado, y </w:t>
            </w:r>
          </w:p>
          <w:p w14:paraId="19103598" w14:textId="77777777" w:rsidR="000B747C" w:rsidRPr="000B747C" w:rsidRDefault="000B747C" w:rsidP="000B747C">
            <w:pPr>
              <w:pStyle w:val="Prrafodelista"/>
              <w:tabs>
                <w:tab w:val="left" w:pos="0"/>
              </w:tabs>
              <w:ind w:right="51"/>
              <w:jc w:val="both"/>
              <w:rPr>
                <w:rFonts w:asciiTheme="majorHAnsi" w:hAnsiTheme="majorHAnsi" w:cstheme="majorHAnsi"/>
                <w:bCs/>
                <w:spacing w:val="-3"/>
                <w:sz w:val="16"/>
                <w:szCs w:val="16"/>
              </w:rPr>
            </w:pPr>
          </w:p>
          <w:p w14:paraId="0B8EC019" w14:textId="0DC5AFB5" w:rsidR="00D536EC" w:rsidRPr="000B747C" w:rsidRDefault="000B747C" w:rsidP="000B747C">
            <w:pPr>
              <w:pStyle w:val="Prrafodelista"/>
              <w:numPr>
                <w:ilvl w:val="0"/>
                <w:numId w:val="13"/>
              </w:numPr>
              <w:tabs>
                <w:tab w:val="left" w:pos="0"/>
              </w:tabs>
              <w:ind w:right="51"/>
              <w:jc w:val="both"/>
              <w:rPr>
                <w:rFonts w:asciiTheme="majorHAnsi" w:hAnsiTheme="majorHAnsi" w:cstheme="majorHAnsi"/>
                <w:bCs/>
                <w:spacing w:val="-3"/>
                <w:sz w:val="16"/>
                <w:szCs w:val="16"/>
              </w:rPr>
            </w:pPr>
            <w:r w:rsidRPr="000B747C">
              <w:rPr>
                <w:rFonts w:asciiTheme="majorHAnsi" w:hAnsiTheme="majorHAnsi" w:cstheme="majorHAnsi"/>
                <w:bCs/>
                <w:spacing w:val="-3"/>
                <w:sz w:val="16"/>
                <w:szCs w:val="16"/>
              </w:rPr>
              <w:t>En certificados de depósito a término, depósitos en cuenta corriente, de ahorros o a término en condiciones de mercado en establecimientos bancarios vigilados por la Superintendencia Financiera de Colombia o en entidades con regímenes especiales contempladas en la parte décima del estatuto orgánico del sistema financiero.</w:t>
            </w:r>
          </w:p>
          <w:p w14:paraId="4026EF77" w14:textId="77777777" w:rsidR="000B747C" w:rsidRPr="000B747C" w:rsidRDefault="000B747C" w:rsidP="000B747C">
            <w:pPr>
              <w:pStyle w:val="Prrafodelista"/>
              <w:rPr>
                <w:rFonts w:asciiTheme="majorHAnsi" w:hAnsiTheme="majorHAnsi" w:cstheme="majorHAnsi"/>
                <w:bCs/>
                <w:spacing w:val="-3"/>
                <w:sz w:val="16"/>
                <w:szCs w:val="16"/>
              </w:rPr>
            </w:pPr>
          </w:p>
          <w:p w14:paraId="4312C253" w14:textId="1C7C7315" w:rsidR="000B747C" w:rsidRPr="000B747C" w:rsidRDefault="000B747C" w:rsidP="000B747C">
            <w:pPr>
              <w:tabs>
                <w:tab w:val="left" w:pos="0"/>
              </w:tabs>
              <w:ind w:right="51"/>
              <w:jc w:val="both"/>
              <w:rPr>
                <w:rFonts w:asciiTheme="majorHAnsi" w:hAnsiTheme="majorHAnsi" w:cstheme="majorHAnsi"/>
                <w:bCs/>
                <w:spacing w:val="-3"/>
                <w:sz w:val="16"/>
                <w:szCs w:val="16"/>
              </w:rPr>
            </w:pPr>
            <w:r w:rsidRPr="000B747C">
              <w:rPr>
                <w:rFonts w:asciiTheme="majorHAnsi" w:hAnsiTheme="majorHAnsi" w:cstheme="majorHAnsi"/>
                <w:bCs/>
                <w:spacing w:val="-3"/>
                <w:sz w:val="16"/>
                <w:szCs w:val="16"/>
              </w:rPr>
              <w:lastRenderedPageBreak/>
              <w:t>Para los efectos de las inversiones a que hace referencia el numeral 2) en lo concerniente a los establecimientos bancarios, dichos establecimientos deberán contar con la siguiente calificación de riesgo, según el plazo de la inversión así:</w:t>
            </w:r>
          </w:p>
          <w:p w14:paraId="553022C8" w14:textId="77777777" w:rsidR="003003D8" w:rsidRDefault="003003D8" w:rsidP="000B747C">
            <w:pPr>
              <w:tabs>
                <w:tab w:val="left" w:pos="0"/>
              </w:tabs>
              <w:ind w:right="51"/>
              <w:jc w:val="both"/>
              <w:rPr>
                <w:rFonts w:asciiTheme="majorHAnsi" w:hAnsiTheme="majorHAnsi" w:cstheme="majorHAnsi"/>
                <w:bCs/>
                <w:spacing w:val="-3"/>
                <w:sz w:val="16"/>
                <w:szCs w:val="16"/>
              </w:rPr>
            </w:pPr>
          </w:p>
          <w:p w14:paraId="06FCD2C5" w14:textId="06579A3C" w:rsidR="000B747C" w:rsidRPr="003003D8" w:rsidRDefault="000B747C" w:rsidP="003003D8">
            <w:pPr>
              <w:pStyle w:val="Prrafodelista"/>
              <w:numPr>
                <w:ilvl w:val="0"/>
                <w:numId w:val="14"/>
              </w:numPr>
              <w:tabs>
                <w:tab w:val="left" w:pos="0"/>
              </w:tabs>
              <w:ind w:right="51"/>
              <w:jc w:val="both"/>
              <w:rPr>
                <w:rFonts w:asciiTheme="majorHAnsi" w:hAnsiTheme="majorHAnsi" w:cstheme="majorHAnsi"/>
                <w:bCs/>
                <w:spacing w:val="-3"/>
                <w:sz w:val="16"/>
                <w:szCs w:val="16"/>
              </w:rPr>
            </w:pPr>
            <w:r w:rsidRPr="003003D8">
              <w:rPr>
                <w:rFonts w:asciiTheme="majorHAnsi" w:hAnsiTheme="majorHAnsi" w:cstheme="majorHAnsi"/>
                <w:bCs/>
                <w:spacing w:val="-3"/>
                <w:sz w:val="16"/>
                <w:szCs w:val="16"/>
              </w:rPr>
              <w:t xml:space="preserve">Para las inversiones con plazo igual o inferior a un (1) año, el establecimiento bancario deberá </w:t>
            </w:r>
            <w:r w:rsidR="003003D8" w:rsidRPr="003003D8">
              <w:rPr>
                <w:rFonts w:asciiTheme="majorHAnsi" w:hAnsiTheme="majorHAnsi" w:cstheme="majorHAnsi"/>
                <w:bCs/>
                <w:spacing w:val="-3"/>
                <w:sz w:val="16"/>
                <w:szCs w:val="16"/>
              </w:rPr>
              <w:t>c</w:t>
            </w:r>
            <w:r w:rsidRPr="003003D8">
              <w:rPr>
                <w:rFonts w:asciiTheme="majorHAnsi" w:hAnsiTheme="majorHAnsi" w:cstheme="majorHAnsi"/>
                <w:bCs/>
                <w:spacing w:val="-3"/>
                <w:sz w:val="16"/>
                <w:szCs w:val="16"/>
              </w:rPr>
              <w:t xml:space="preserve">ontar con una calificación vigente correspondiente a la máxima categoría para el corto plazo de acuerdo con las escalas usadas por las sociedades calificadoras que la otorgan y contar como mínimo con la tercera mejor calificación vigente para el largo plazo utilizada por las respectivas sociedades. </w:t>
            </w:r>
          </w:p>
          <w:p w14:paraId="26A0EAAC" w14:textId="77777777" w:rsidR="003003D8" w:rsidRPr="003003D8" w:rsidRDefault="003003D8" w:rsidP="003003D8">
            <w:pPr>
              <w:pStyle w:val="Prrafodelista"/>
              <w:tabs>
                <w:tab w:val="left" w:pos="0"/>
              </w:tabs>
              <w:ind w:right="51"/>
              <w:jc w:val="both"/>
              <w:rPr>
                <w:rFonts w:asciiTheme="majorHAnsi" w:hAnsiTheme="majorHAnsi" w:cstheme="majorHAnsi"/>
                <w:bCs/>
                <w:spacing w:val="-3"/>
                <w:sz w:val="16"/>
                <w:szCs w:val="16"/>
              </w:rPr>
            </w:pPr>
          </w:p>
          <w:p w14:paraId="187CFB69" w14:textId="6301750C" w:rsidR="000B747C" w:rsidRPr="003003D8" w:rsidRDefault="000B747C" w:rsidP="003003D8">
            <w:pPr>
              <w:pStyle w:val="Prrafodelista"/>
              <w:numPr>
                <w:ilvl w:val="0"/>
                <w:numId w:val="14"/>
              </w:numPr>
              <w:tabs>
                <w:tab w:val="left" w:pos="0"/>
              </w:tabs>
              <w:ind w:right="51"/>
              <w:jc w:val="both"/>
              <w:rPr>
                <w:rFonts w:asciiTheme="majorHAnsi" w:hAnsiTheme="majorHAnsi" w:cstheme="majorHAnsi"/>
                <w:bCs/>
                <w:spacing w:val="-3"/>
                <w:sz w:val="16"/>
                <w:szCs w:val="16"/>
              </w:rPr>
            </w:pPr>
            <w:r w:rsidRPr="003003D8">
              <w:rPr>
                <w:rFonts w:asciiTheme="majorHAnsi" w:hAnsiTheme="majorHAnsi" w:cstheme="majorHAnsi"/>
                <w:bCs/>
                <w:spacing w:val="-3"/>
                <w:sz w:val="16"/>
                <w:szCs w:val="16"/>
              </w:rPr>
              <w:t>Para inversiones con plazo superior a un (1) año, el establecimiento bancario deberá contar con la tercera mejor calificación vigente para el largo plazo según la escala utilizada por las sociedades calificadores y la máxima calificación para el corto plazo de acuerdo con la escala utilizada para este plazo.</w:t>
            </w:r>
          </w:p>
          <w:p w14:paraId="7613C83E" w14:textId="77777777" w:rsidR="003003D8" w:rsidRPr="003003D8" w:rsidRDefault="003003D8" w:rsidP="003003D8">
            <w:pPr>
              <w:pStyle w:val="Prrafodelista"/>
              <w:rPr>
                <w:rFonts w:asciiTheme="majorHAnsi" w:hAnsiTheme="majorHAnsi" w:cstheme="majorHAnsi"/>
                <w:bCs/>
                <w:spacing w:val="-3"/>
                <w:sz w:val="16"/>
                <w:szCs w:val="16"/>
              </w:rPr>
            </w:pPr>
          </w:p>
          <w:p w14:paraId="1AD0679C" w14:textId="75F0C309" w:rsidR="000B747C" w:rsidRDefault="003003D8" w:rsidP="000B747C">
            <w:pPr>
              <w:tabs>
                <w:tab w:val="left" w:pos="0"/>
              </w:tabs>
              <w:ind w:right="51"/>
              <w:jc w:val="both"/>
              <w:rPr>
                <w:rFonts w:asciiTheme="majorHAnsi" w:hAnsiTheme="majorHAnsi" w:cstheme="majorHAnsi"/>
                <w:b/>
                <w:spacing w:val="-3"/>
                <w:sz w:val="16"/>
                <w:szCs w:val="16"/>
              </w:rPr>
            </w:pPr>
            <w:r>
              <w:rPr>
                <w:rFonts w:asciiTheme="majorHAnsi" w:hAnsiTheme="majorHAnsi" w:cstheme="majorHAnsi"/>
                <w:bCs/>
                <w:spacing w:val="-3"/>
                <w:sz w:val="16"/>
                <w:szCs w:val="16"/>
              </w:rPr>
              <w:t xml:space="preserve">Para </w:t>
            </w:r>
            <w:proofErr w:type="gramStart"/>
            <w:r>
              <w:rPr>
                <w:rFonts w:asciiTheme="majorHAnsi" w:hAnsiTheme="majorHAnsi" w:cstheme="majorHAnsi"/>
                <w:bCs/>
                <w:spacing w:val="-3"/>
                <w:sz w:val="16"/>
                <w:szCs w:val="16"/>
              </w:rPr>
              <w:t>mayor información</w:t>
            </w:r>
            <w:proofErr w:type="gramEnd"/>
            <w:r w:rsidR="00363E82">
              <w:rPr>
                <w:rFonts w:asciiTheme="majorHAnsi" w:hAnsiTheme="majorHAnsi" w:cstheme="majorHAnsi"/>
                <w:bCs/>
                <w:spacing w:val="-3"/>
                <w:sz w:val="16"/>
                <w:szCs w:val="16"/>
              </w:rPr>
              <w:t xml:space="preserve"> de </w:t>
            </w:r>
            <w:r>
              <w:rPr>
                <w:rFonts w:asciiTheme="majorHAnsi" w:hAnsiTheme="majorHAnsi" w:cstheme="majorHAnsi"/>
                <w:bCs/>
                <w:spacing w:val="-3"/>
                <w:sz w:val="16"/>
                <w:szCs w:val="16"/>
              </w:rPr>
              <w:t xml:space="preserve">los límites de inversión, el manejo de la liquidez de </w:t>
            </w:r>
            <w:r w:rsidRPr="00621DBB">
              <w:rPr>
                <w:rFonts w:asciiTheme="majorHAnsi" w:hAnsiTheme="majorHAnsi" w:cstheme="majorHAnsi"/>
                <w:bCs/>
                <w:spacing w:val="-3"/>
                <w:sz w:val="16"/>
                <w:szCs w:val="16"/>
                <w:u w:val="single"/>
              </w:rPr>
              <w:t xml:space="preserve">El Fondo 1525 </w:t>
            </w:r>
            <w:r w:rsidR="00621DBB" w:rsidRPr="00621DBB">
              <w:rPr>
                <w:rFonts w:asciiTheme="majorHAnsi" w:hAnsiTheme="majorHAnsi" w:cstheme="majorHAnsi"/>
                <w:bCs/>
                <w:spacing w:val="-3"/>
                <w:sz w:val="16"/>
                <w:szCs w:val="16"/>
                <w:u w:val="single"/>
              </w:rPr>
              <w:t>Plus</w:t>
            </w:r>
            <w:r w:rsidR="00621DBB">
              <w:rPr>
                <w:rFonts w:asciiTheme="majorHAnsi" w:hAnsiTheme="majorHAnsi" w:cstheme="majorHAnsi"/>
                <w:bCs/>
                <w:spacing w:val="-3"/>
                <w:sz w:val="16"/>
                <w:szCs w:val="16"/>
              </w:rPr>
              <w:t xml:space="preserve"> </w:t>
            </w:r>
            <w:r>
              <w:rPr>
                <w:rFonts w:asciiTheme="majorHAnsi" w:hAnsiTheme="majorHAnsi" w:cstheme="majorHAnsi"/>
                <w:bCs/>
                <w:spacing w:val="-3"/>
                <w:sz w:val="16"/>
                <w:szCs w:val="16"/>
              </w:rPr>
              <w:t xml:space="preserve">y el manejo de situaciones imprevistas e imprevisibles, se recomienda la lectura del Capítulo II. Política de Inversión del Fondo de Inversión Colectiva del Reglamento de </w:t>
            </w:r>
            <w:r w:rsidRPr="003003D8">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Pr>
                <w:rFonts w:asciiTheme="majorHAnsi" w:hAnsiTheme="majorHAnsi" w:cstheme="majorHAnsi"/>
                <w:bCs/>
                <w:spacing w:val="-3"/>
                <w:sz w:val="16"/>
                <w:szCs w:val="16"/>
              </w:rPr>
              <w:t>.</w:t>
            </w:r>
          </w:p>
          <w:p w14:paraId="5772F935" w14:textId="7E6C4643" w:rsidR="000B747C" w:rsidRDefault="000B747C" w:rsidP="000B747C">
            <w:pPr>
              <w:tabs>
                <w:tab w:val="left" w:pos="0"/>
              </w:tabs>
              <w:ind w:right="51"/>
              <w:jc w:val="both"/>
              <w:rPr>
                <w:rFonts w:asciiTheme="majorHAnsi" w:hAnsiTheme="majorHAnsi" w:cstheme="majorHAnsi"/>
                <w:b/>
                <w:spacing w:val="-3"/>
                <w:sz w:val="16"/>
                <w:szCs w:val="16"/>
              </w:rPr>
            </w:pPr>
          </w:p>
        </w:tc>
      </w:tr>
      <w:tr w:rsidR="003003D8" w14:paraId="732BCDEB" w14:textId="77777777" w:rsidTr="00D536EC">
        <w:tc>
          <w:tcPr>
            <w:tcW w:w="2405" w:type="dxa"/>
          </w:tcPr>
          <w:p w14:paraId="0AB68E99" w14:textId="6AEA78BC" w:rsidR="003003D8" w:rsidRDefault="000C6FCA" w:rsidP="00D536EC">
            <w:pPr>
              <w:tabs>
                <w:tab w:val="left" w:pos="0"/>
              </w:tabs>
              <w:ind w:right="51"/>
              <w:jc w:val="both"/>
              <w:rPr>
                <w:rFonts w:asciiTheme="majorHAnsi" w:hAnsiTheme="majorHAnsi" w:cstheme="majorHAnsi"/>
                <w:b/>
                <w:spacing w:val="-3"/>
                <w:sz w:val="16"/>
                <w:szCs w:val="16"/>
              </w:rPr>
            </w:pPr>
            <w:r>
              <w:rPr>
                <w:rFonts w:asciiTheme="majorHAnsi" w:hAnsiTheme="majorHAnsi" w:cstheme="majorHAnsi"/>
                <w:b/>
                <w:spacing w:val="-3"/>
                <w:sz w:val="16"/>
                <w:szCs w:val="16"/>
              </w:rPr>
              <w:lastRenderedPageBreak/>
              <w:t>Monto Mínimo de Vinculación</w:t>
            </w:r>
            <w:r w:rsidR="00950713">
              <w:rPr>
                <w:rFonts w:asciiTheme="majorHAnsi" w:hAnsiTheme="majorHAnsi" w:cstheme="majorHAnsi"/>
                <w:b/>
                <w:spacing w:val="-3"/>
                <w:sz w:val="16"/>
                <w:szCs w:val="16"/>
              </w:rPr>
              <w:t xml:space="preserve"> y Permanencia y Adiciones:</w:t>
            </w:r>
          </w:p>
          <w:p w14:paraId="65B3A7B7" w14:textId="77777777" w:rsidR="003003D8" w:rsidRDefault="003003D8" w:rsidP="00D536EC">
            <w:pPr>
              <w:tabs>
                <w:tab w:val="left" w:pos="0"/>
              </w:tabs>
              <w:ind w:right="51"/>
              <w:jc w:val="both"/>
              <w:rPr>
                <w:rFonts w:asciiTheme="majorHAnsi" w:hAnsiTheme="majorHAnsi" w:cstheme="majorHAnsi"/>
                <w:b/>
                <w:spacing w:val="-3"/>
                <w:sz w:val="16"/>
                <w:szCs w:val="16"/>
              </w:rPr>
            </w:pPr>
          </w:p>
          <w:p w14:paraId="68FAB266" w14:textId="74DD37D4" w:rsidR="003003D8" w:rsidRDefault="003003D8" w:rsidP="00D536EC">
            <w:pPr>
              <w:tabs>
                <w:tab w:val="left" w:pos="0"/>
              </w:tabs>
              <w:ind w:right="51"/>
              <w:jc w:val="both"/>
              <w:rPr>
                <w:rFonts w:asciiTheme="majorHAnsi" w:hAnsiTheme="majorHAnsi" w:cstheme="majorHAnsi"/>
                <w:b/>
                <w:spacing w:val="-3"/>
                <w:sz w:val="16"/>
                <w:szCs w:val="16"/>
              </w:rPr>
            </w:pPr>
          </w:p>
        </w:tc>
        <w:tc>
          <w:tcPr>
            <w:tcW w:w="6423" w:type="dxa"/>
          </w:tcPr>
          <w:p w14:paraId="28EE8407" w14:textId="5E00CC13" w:rsidR="00950713" w:rsidRDefault="00950713" w:rsidP="00950713">
            <w:pPr>
              <w:tabs>
                <w:tab w:val="left" w:pos="0"/>
              </w:tabs>
              <w:ind w:right="51"/>
              <w:jc w:val="both"/>
              <w:rPr>
                <w:rFonts w:asciiTheme="majorHAnsi" w:hAnsiTheme="majorHAnsi" w:cstheme="majorHAnsi"/>
                <w:bCs/>
                <w:spacing w:val="-3"/>
                <w:sz w:val="16"/>
                <w:szCs w:val="16"/>
              </w:rPr>
            </w:pPr>
            <w:r>
              <w:rPr>
                <w:rFonts w:asciiTheme="majorHAnsi" w:hAnsiTheme="majorHAnsi" w:cstheme="majorHAnsi"/>
                <w:bCs/>
                <w:spacing w:val="-3"/>
                <w:sz w:val="16"/>
                <w:szCs w:val="16"/>
              </w:rPr>
              <w:t xml:space="preserve">De acuerdo con lo indicado en el Capítulo IV del Reglamento de </w:t>
            </w:r>
            <w:r w:rsidRPr="00615B30">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sidR="00615B30">
              <w:rPr>
                <w:rFonts w:asciiTheme="majorHAnsi" w:hAnsiTheme="majorHAnsi" w:cstheme="majorHAnsi"/>
                <w:bCs/>
                <w:spacing w:val="-3"/>
                <w:sz w:val="16"/>
                <w:szCs w:val="16"/>
              </w:rPr>
              <w:t>:</w:t>
            </w:r>
          </w:p>
          <w:p w14:paraId="2E8B5880" w14:textId="77777777" w:rsidR="00615B30" w:rsidRDefault="00615B30" w:rsidP="00950713">
            <w:pPr>
              <w:tabs>
                <w:tab w:val="left" w:pos="0"/>
              </w:tabs>
              <w:ind w:right="51"/>
              <w:jc w:val="both"/>
              <w:rPr>
                <w:rFonts w:asciiTheme="majorHAnsi" w:hAnsiTheme="majorHAnsi" w:cstheme="majorHAnsi"/>
                <w:bCs/>
                <w:spacing w:val="-3"/>
                <w:sz w:val="16"/>
                <w:szCs w:val="16"/>
              </w:rPr>
            </w:pPr>
          </w:p>
          <w:p w14:paraId="05F0690B" w14:textId="77777777" w:rsidR="00615B30" w:rsidRDefault="000C6FCA" w:rsidP="00615B30">
            <w:pPr>
              <w:pStyle w:val="Prrafodelista"/>
              <w:numPr>
                <w:ilvl w:val="0"/>
                <w:numId w:val="15"/>
              </w:numPr>
              <w:tabs>
                <w:tab w:val="left" w:pos="0"/>
              </w:tabs>
              <w:ind w:left="455" w:right="51" w:hanging="295"/>
              <w:jc w:val="both"/>
              <w:rPr>
                <w:rFonts w:asciiTheme="majorHAnsi" w:hAnsiTheme="majorHAnsi" w:cstheme="majorHAnsi"/>
                <w:bCs/>
                <w:spacing w:val="-3"/>
                <w:sz w:val="16"/>
                <w:szCs w:val="16"/>
              </w:rPr>
            </w:pPr>
            <w:r w:rsidRPr="00615B30">
              <w:rPr>
                <w:rFonts w:asciiTheme="majorHAnsi" w:hAnsiTheme="majorHAnsi" w:cstheme="majorHAnsi"/>
                <w:bCs/>
                <w:spacing w:val="-3"/>
                <w:sz w:val="16"/>
                <w:szCs w:val="16"/>
              </w:rPr>
              <w:t>El monto mínimo de vinculación será de cincuenta millones de pesos ($50.000.000.00) o su equivalente en unidades de</w:t>
            </w:r>
            <w:r w:rsidR="00950713" w:rsidRPr="00615B30">
              <w:rPr>
                <w:rFonts w:asciiTheme="majorHAnsi" w:hAnsiTheme="majorHAnsi" w:cstheme="majorHAnsi"/>
                <w:bCs/>
                <w:spacing w:val="-3"/>
                <w:sz w:val="16"/>
                <w:szCs w:val="16"/>
              </w:rPr>
              <w:t xml:space="preserve"> </w:t>
            </w:r>
            <w:r w:rsidRPr="00615B30">
              <w:rPr>
                <w:rFonts w:asciiTheme="majorHAnsi" w:hAnsiTheme="majorHAnsi" w:cstheme="majorHAnsi"/>
                <w:bCs/>
                <w:spacing w:val="-3"/>
                <w:sz w:val="16"/>
                <w:szCs w:val="16"/>
              </w:rPr>
              <w:t>inversión</w:t>
            </w:r>
            <w:r w:rsidR="00950713" w:rsidRPr="00615B30">
              <w:rPr>
                <w:rFonts w:asciiTheme="majorHAnsi" w:hAnsiTheme="majorHAnsi" w:cstheme="majorHAnsi"/>
                <w:bCs/>
                <w:spacing w:val="-3"/>
                <w:sz w:val="16"/>
                <w:szCs w:val="16"/>
              </w:rPr>
              <w:t xml:space="preserve">. </w:t>
            </w:r>
          </w:p>
          <w:p w14:paraId="528183B6" w14:textId="3419EBC6" w:rsidR="00924040" w:rsidRDefault="00950713" w:rsidP="00924040">
            <w:pPr>
              <w:pStyle w:val="Prrafodelista"/>
              <w:numPr>
                <w:ilvl w:val="0"/>
                <w:numId w:val="15"/>
              </w:numPr>
              <w:tabs>
                <w:tab w:val="left" w:pos="0"/>
              </w:tabs>
              <w:ind w:left="455" w:right="51" w:hanging="295"/>
              <w:jc w:val="both"/>
              <w:rPr>
                <w:rFonts w:asciiTheme="majorHAnsi" w:hAnsiTheme="majorHAnsi" w:cstheme="majorHAnsi"/>
                <w:bCs/>
                <w:spacing w:val="-3"/>
                <w:sz w:val="16"/>
                <w:szCs w:val="16"/>
              </w:rPr>
            </w:pPr>
            <w:r w:rsidRPr="00615B30">
              <w:rPr>
                <w:rFonts w:asciiTheme="majorHAnsi" w:hAnsiTheme="majorHAnsi" w:cstheme="majorHAnsi"/>
                <w:bCs/>
                <w:spacing w:val="-3"/>
                <w:sz w:val="16"/>
                <w:szCs w:val="16"/>
              </w:rPr>
              <w:t xml:space="preserve">Una vez </w:t>
            </w:r>
            <w:r w:rsidR="00615B30">
              <w:rPr>
                <w:rFonts w:asciiTheme="majorHAnsi" w:hAnsiTheme="majorHAnsi" w:cstheme="majorHAnsi"/>
                <w:bCs/>
                <w:spacing w:val="-3"/>
                <w:sz w:val="16"/>
                <w:szCs w:val="16"/>
              </w:rPr>
              <w:t xml:space="preserve">se </w:t>
            </w:r>
            <w:r w:rsidRPr="00615B30">
              <w:rPr>
                <w:rFonts w:asciiTheme="majorHAnsi" w:hAnsiTheme="majorHAnsi" w:cstheme="majorHAnsi"/>
                <w:bCs/>
                <w:spacing w:val="-3"/>
                <w:sz w:val="16"/>
                <w:szCs w:val="16"/>
              </w:rPr>
              <w:t xml:space="preserve">realice la entrega efectiva de recursos, dicho valor será convertido en unidades, al valor de la unidad vigente determinado de conformidad con la cláusula 5.3 del reglamento de </w:t>
            </w:r>
            <w:r w:rsidRPr="00615B30">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sidRPr="00615B30">
              <w:rPr>
                <w:rFonts w:asciiTheme="majorHAnsi" w:hAnsiTheme="majorHAnsi" w:cstheme="majorHAnsi"/>
                <w:bCs/>
                <w:spacing w:val="-3"/>
                <w:sz w:val="16"/>
                <w:szCs w:val="16"/>
              </w:rPr>
              <w:t>.</w:t>
            </w:r>
          </w:p>
          <w:p w14:paraId="3F17F642" w14:textId="6F368508" w:rsidR="00924040" w:rsidRDefault="00924040" w:rsidP="00924040">
            <w:pPr>
              <w:pStyle w:val="Prrafodelista"/>
              <w:numPr>
                <w:ilvl w:val="0"/>
                <w:numId w:val="15"/>
              </w:numPr>
              <w:tabs>
                <w:tab w:val="left" w:pos="0"/>
              </w:tabs>
              <w:ind w:left="455" w:right="51" w:hanging="295"/>
              <w:jc w:val="both"/>
              <w:rPr>
                <w:rFonts w:asciiTheme="majorHAnsi" w:hAnsiTheme="majorHAnsi" w:cstheme="majorHAnsi"/>
                <w:bCs/>
                <w:spacing w:val="-3"/>
                <w:sz w:val="16"/>
                <w:szCs w:val="16"/>
              </w:rPr>
            </w:pPr>
            <w:r w:rsidRPr="00924040">
              <w:rPr>
                <w:rFonts w:asciiTheme="majorHAnsi" w:hAnsiTheme="majorHAnsi" w:cstheme="majorHAnsi"/>
                <w:bCs/>
                <w:spacing w:val="-3"/>
                <w:sz w:val="16"/>
                <w:szCs w:val="16"/>
              </w:rPr>
              <w:t xml:space="preserve">El valor de la unidad vigente para el día y aplicable a las operaciones realizadas en esta fecha, estará dado por el valor de </w:t>
            </w:r>
            <w:proofErr w:type="spellStart"/>
            <w:r w:rsidRPr="00924040">
              <w:rPr>
                <w:rFonts w:asciiTheme="majorHAnsi" w:hAnsiTheme="majorHAnsi" w:cstheme="majorHAnsi"/>
                <w:bCs/>
                <w:spacing w:val="-3"/>
                <w:sz w:val="16"/>
                <w:szCs w:val="16"/>
              </w:rPr>
              <w:t>precierre</w:t>
            </w:r>
            <w:proofErr w:type="spellEnd"/>
            <w:r w:rsidRPr="00924040">
              <w:rPr>
                <w:rFonts w:asciiTheme="majorHAnsi" w:hAnsiTheme="majorHAnsi" w:cstheme="majorHAnsi"/>
                <w:bCs/>
                <w:spacing w:val="-3"/>
                <w:sz w:val="16"/>
                <w:szCs w:val="16"/>
              </w:rPr>
              <w:t xml:space="preserve"> de </w:t>
            </w:r>
            <w:r w:rsidRPr="00924040">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sidRPr="00924040">
              <w:rPr>
                <w:rFonts w:asciiTheme="majorHAnsi" w:hAnsiTheme="majorHAnsi" w:cstheme="majorHAnsi"/>
                <w:bCs/>
                <w:spacing w:val="-3"/>
                <w:sz w:val="16"/>
                <w:szCs w:val="16"/>
              </w:rPr>
              <w:t xml:space="preserve"> dividido entre el número total de unidades al inicio del día.</w:t>
            </w:r>
          </w:p>
          <w:p w14:paraId="610AFFA2" w14:textId="5BE0187A" w:rsidR="00615B30" w:rsidRPr="00924040" w:rsidRDefault="00615B30" w:rsidP="00924040">
            <w:pPr>
              <w:pStyle w:val="Prrafodelista"/>
              <w:numPr>
                <w:ilvl w:val="0"/>
                <w:numId w:val="15"/>
              </w:numPr>
              <w:tabs>
                <w:tab w:val="left" w:pos="0"/>
              </w:tabs>
              <w:ind w:left="455" w:right="51" w:hanging="295"/>
              <w:jc w:val="both"/>
              <w:rPr>
                <w:rFonts w:asciiTheme="majorHAnsi" w:hAnsiTheme="majorHAnsi" w:cstheme="majorHAnsi"/>
                <w:bCs/>
                <w:spacing w:val="-3"/>
                <w:sz w:val="16"/>
                <w:szCs w:val="16"/>
              </w:rPr>
            </w:pPr>
            <w:r w:rsidRPr="00924040">
              <w:rPr>
                <w:rFonts w:asciiTheme="majorHAnsi" w:hAnsiTheme="majorHAnsi" w:cstheme="majorHAnsi"/>
                <w:bCs/>
                <w:spacing w:val="-3"/>
                <w:sz w:val="16"/>
                <w:szCs w:val="16"/>
              </w:rPr>
              <w:t>Se podrán realizar aportes adicionales. El valor mínimo de los aportes adicionales será de $ 1 y se contabilizarán como un mayor valor de la inversión inicial.</w:t>
            </w:r>
          </w:p>
          <w:p w14:paraId="749AD6B5" w14:textId="33F69BAB" w:rsidR="00950713" w:rsidRPr="000B747C" w:rsidRDefault="00950713" w:rsidP="00615B30">
            <w:pPr>
              <w:pStyle w:val="Prrafodelista"/>
              <w:tabs>
                <w:tab w:val="left" w:pos="0"/>
              </w:tabs>
              <w:ind w:left="1080" w:right="51"/>
              <w:jc w:val="both"/>
              <w:rPr>
                <w:rFonts w:asciiTheme="majorHAnsi" w:hAnsiTheme="majorHAnsi" w:cstheme="majorHAnsi"/>
                <w:bCs/>
                <w:spacing w:val="-3"/>
                <w:sz w:val="16"/>
                <w:szCs w:val="16"/>
              </w:rPr>
            </w:pPr>
          </w:p>
        </w:tc>
      </w:tr>
      <w:tr w:rsidR="00615B30" w14:paraId="6B161D0A" w14:textId="77777777" w:rsidTr="00D536EC">
        <w:tc>
          <w:tcPr>
            <w:tcW w:w="2405" w:type="dxa"/>
          </w:tcPr>
          <w:p w14:paraId="15A5DA9C" w14:textId="09C30E94" w:rsidR="00615B30" w:rsidRDefault="00615B30" w:rsidP="00D536EC">
            <w:pPr>
              <w:tabs>
                <w:tab w:val="left" w:pos="0"/>
              </w:tabs>
              <w:ind w:right="51"/>
              <w:jc w:val="both"/>
              <w:rPr>
                <w:rFonts w:asciiTheme="majorHAnsi" w:hAnsiTheme="majorHAnsi" w:cstheme="majorHAnsi"/>
                <w:b/>
                <w:spacing w:val="-3"/>
                <w:sz w:val="16"/>
                <w:szCs w:val="16"/>
              </w:rPr>
            </w:pPr>
            <w:r>
              <w:rPr>
                <w:rFonts w:asciiTheme="majorHAnsi" w:hAnsiTheme="majorHAnsi" w:cstheme="majorHAnsi"/>
                <w:b/>
                <w:spacing w:val="-3"/>
                <w:sz w:val="16"/>
                <w:szCs w:val="16"/>
              </w:rPr>
              <w:t xml:space="preserve">Límites a la Participación: </w:t>
            </w:r>
          </w:p>
        </w:tc>
        <w:tc>
          <w:tcPr>
            <w:tcW w:w="6423" w:type="dxa"/>
          </w:tcPr>
          <w:p w14:paraId="494FB9EF" w14:textId="326702CF" w:rsidR="00615B30" w:rsidRPr="00615B30" w:rsidRDefault="00615B30" w:rsidP="00615B30">
            <w:pPr>
              <w:tabs>
                <w:tab w:val="left" w:pos="0"/>
              </w:tabs>
              <w:ind w:right="51"/>
              <w:jc w:val="both"/>
              <w:rPr>
                <w:rFonts w:asciiTheme="majorHAnsi" w:hAnsiTheme="majorHAnsi" w:cstheme="majorHAnsi"/>
                <w:bCs/>
                <w:spacing w:val="-3"/>
                <w:sz w:val="16"/>
                <w:szCs w:val="16"/>
              </w:rPr>
            </w:pPr>
            <w:r w:rsidRPr="00615B30">
              <w:rPr>
                <w:rFonts w:asciiTheme="majorHAnsi" w:hAnsiTheme="majorHAnsi" w:cstheme="majorHAnsi"/>
                <w:bCs/>
                <w:spacing w:val="-3"/>
                <w:sz w:val="16"/>
                <w:szCs w:val="16"/>
              </w:rPr>
              <w:t xml:space="preserve">Ningún inversionista podrá poseer de manera directa o indirectamente más </w:t>
            </w:r>
            <w:proofErr w:type="spellStart"/>
            <w:r w:rsidRPr="00615B30">
              <w:rPr>
                <w:rFonts w:asciiTheme="majorHAnsi" w:hAnsiTheme="majorHAnsi" w:cstheme="majorHAnsi"/>
                <w:bCs/>
                <w:spacing w:val="-3"/>
                <w:sz w:val="16"/>
                <w:szCs w:val="16"/>
              </w:rPr>
              <w:t>del</w:t>
            </w:r>
            <w:proofErr w:type="spellEnd"/>
            <w:r w:rsidRPr="00615B30">
              <w:rPr>
                <w:rFonts w:asciiTheme="majorHAnsi" w:hAnsiTheme="majorHAnsi" w:cstheme="majorHAnsi"/>
                <w:bCs/>
                <w:spacing w:val="-3"/>
                <w:sz w:val="16"/>
                <w:szCs w:val="16"/>
              </w:rPr>
              <w:t xml:space="preserve"> diez</w:t>
            </w:r>
            <w:r>
              <w:rPr>
                <w:rFonts w:asciiTheme="majorHAnsi" w:hAnsiTheme="majorHAnsi" w:cstheme="majorHAnsi"/>
                <w:bCs/>
                <w:spacing w:val="-3"/>
                <w:sz w:val="16"/>
                <w:szCs w:val="16"/>
              </w:rPr>
              <w:t xml:space="preserve"> </w:t>
            </w:r>
            <w:r w:rsidRPr="00615B30">
              <w:rPr>
                <w:rFonts w:asciiTheme="majorHAnsi" w:hAnsiTheme="majorHAnsi" w:cstheme="majorHAnsi"/>
                <w:bCs/>
                <w:spacing w:val="-3"/>
                <w:sz w:val="16"/>
                <w:szCs w:val="16"/>
              </w:rPr>
              <w:t>(10%) por ciento del patrimonio de</w:t>
            </w:r>
            <w:r>
              <w:rPr>
                <w:rFonts w:asciiTheme="majorHAnsi" w:hAnsiTheme="majorHAnsi" w:cstheme="majorHAnsi"/>
                <w:bCs/>
                <w:spacing w:val="-3"/>
                <w:sz w:val="16"/>
                <w:szCs w:val="16"/>
              </w:rPr>
              <w:t xml:space="preserve"> </w:t>
            </w:r>
            <w:r w:rsidRPr="00615B30">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sidRPr="00615B30">
              <w:rPr>
                <w:rFonts w:asciiTheme="majorHAnsi" w:hAnsiTheme="majorHAnsi" w:cstheme="majorHAnsi"/>
                <w:bCs/>
                <w:spacing w:val="-3"/>
                <w:sz w:val="16"/>
                <w:szCs w:val="16"/>
              </w:rPr>
              <w:t xml:space="preserve">. </w:t>
            </w:r>
          </w:p>
          <w:p w14:paraId="6A2FFBA5" w14:textId="0C54524F" w:rsidR="00615B30" w:rsidRDefault="00615B30" w:rsidP="00615B30">
            <w:pPr>
              <w:tabs>
                <w:tab w:val="left" w:pos="0"/>
              </w:tabs>
              <w:ind w:right="51"/>
              <w:jc w:val="both"/>
              <w:rPr>
                <w:rFonts w:asciiTheme="majorHAnsi" w:hAnsiTheme="majorHAnsi" w:cstheme="majorHAnsi"/>
                <w:bCs/>
                <w:spacing w:val="-3"/>
                <w:sz w:val="16"/>
                <w:szCs w:val="16"/>
              </w:rPr>
            </w:pPr>
            <w:r w:rsidRPr="00615B30">
              <w:rPr>
                <w:rFonts w:asciiTheme="majorHAnsi" w:hAnsiTheme="majorHAnsi" w:cstheme="majorHAnsi"/>
                <w:bCs/>
                <w:spacing w:val="-3"/>
                <w:sz w:val="16"/>
                <w:szCs w:val="16"/>
              </w:rPr>
              <w:t>En el evento que algún inversionista lleg</w:t>
            </w:r>
            <w:r>
              <w:rPr>
                <w:rFonts w:asciiTheme="majorHAnsi" w:hAnsiTheme="majorHAnsi" w:cstheme="majorHAnsi"/>
                <w:bCs/>
                <w:spacing w:val="-3"/>
                <w:sz w:val="16"/>
                <w:szCs w:val="16"/>
              </w:rPr>
              <w:t xml:space="preserve">ue </w:t>
            </w:r>
            <w:r w:rsidRPr="00615B30">
              <w:rPr>
                <w:rFonts w:asciiTheme="majorHAnsi" w:hAnsiTheme="majorHAnsi" w:cstheme="majorHAnsi"/>
                <w:bCs/>
                <w:spacing w:val="-3"/>
                <w:sz w:val="16"/>
                <w:szCs w:val="16"/>
              </w:rPr>
              <w:t xml:space="preserve">a tener una participación superior al límite aquí establecido, </w:t>
            </w:r>
            <w:r>
              <w:rPr>
                <w:rFonts w:asciiTheme="majorHAnsi" w:hAnsiTheme="majorHAnsi" w:cstheme="majorHAnsi"/>
                <w:bCs/>
                <w:spacing w:val="-3"/>
                <w:sz w:val="16"/>
                <w:szCs w:val="16"/>
              </w:rPr>
              <w:t xml:space="preserve">este deberá ser ajustado en un plazo máximo de </w:t>
            </w:r>
            <w:r w:rsidRPr="00615B30">
              <w:rPr>
                <w:rFonts w:asciiTheme="majorHAnsi" w:hAnsiTheme="majorHAnsi" w:cstheme="majorHAnsi"/>
                <w:bCs/>
                <w:spacing w:val="-3"/>
                <w:sz w:val="16"/>
                <w:szCs w:val="16"/>
              </w:rPr>
              <w:t>sesenta (60) días calendario</w:t>
            </w:r>
            <w:r>
              <w:rPr>
                <w:rFonts w:asciiTheme="majorHAnsi" w:hAnsiTheme="majorHAnsi" w:cstheme="majorHAnsi"/>
                <w:bCs/>
                <w:spacing w:val="-3"/>
                <w:sz w:val="16"/>
                <w:szCs w:val="16"/>
              </w:rPr>
              <w:t>.</w:t>
            </w:r>
          </w:p>
          <w:p w14:paraId="5A85F109" w14:textId="64B3F857" w:rsidR="00615B30" w:rsidRDefault="00615B30" w:rsidP="003E7971">
            <w:pPr>
              <w:tabs>
                <w:tab w:val="left" w:pos="0"/>
              </w:tabs>
              <w:ind w:right="51"/>
              <w:jc w:val="both"/>
              <w:rPr>
                <w:rFonts w:asciiTheme="majorHAnsi" w:hAnsiTheme="majorHAnsi" w:cstheme="majorHAnsi"/>
                <w:bCs/>
                <w:spacing w:val="-3"/>
                <w:sz w:val="16"/>
                <w:szCs w:val="16"/>
              </w:rPr>
            </w:pPr>
            <w:r>
              <w:rPr>
                <w:rFonts w:asciiTheme="majorHAnsi" w:hAnsiTheme="majorHAnsi" w:cstheme="majorHAnsi"/>
                <w:bCs/>
                <w:spacing w:val="-3"/>
                <w:sz w:val="16"/>
                <w:szCs w:val="16"/>
              </w:rPr>
              <w:t xml:space="preserve">Los inversionistas que participen en </w:t>
            </w:r>
            <w:r w:rsidRPr="003E7971">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Pr>
                <w:rFonts w:asciiTheme="majorHAnsi" w:hAnsiTheme="majorHAnsi" w:cstheme="majorHAnsi"/>
                <w:bCs/>
                <w:spacing w:val="-3"/>
                <w:sz w:val="16"/>
                <w:szCs w:val="16"/>
              </w:rPr>
              <w:t xml:space="preserve"> a través de cuentas ómnibus, </w:t>
            </w:r>
            <w:r w:rsidR="003E7971">
              <w:rPr>
                <w:rFonts w:asciiTheme="majorHAnsi" w:hAnsiTheme="majorHAnsi" w:cstheme="majorHAnsi"/>
                <w:bCs/>
                <w:spacing w:val="-3"/>
                <w:sz w:val="16"/>
                <w:szCs w:val="16"/>
              </w:rPr>
              <w:t xml:space="preserve">deben abstenerse de </w:t>
            </w:r>
            <w:r>
              <w:rPr>
                <w:rFonts w:asciiTheme="majorHAnsi" w:hAnsiTheme="majorHAnsi" w:cstheme="majorHAnsi"/>
                <w:bCs/>
                <w:spacing w:val="-3"/>
                <w:sz w:val="16"/>
                <w:szCs w:val="16"/>
              </w:rPr>
              <w:t xml:space="preserve">tener participaciones </w:t>
            </w:r>
            <w:r w:rsidR="003E7971">
              <w:rPr>
                <w:rFonts w:asciiTheme="majorHAnsi" w:hAnsiTheme="majorHAnsi" w:cstheme="majorHAnsi"/>
                <w:bCs/>
                <w:spacing w:val="-3"/>
                <w:sz w:val="16"/>
                <w:szCs w:val="16"/>
              </w:rPr>
              <w:t>directas en el fondo distribuido.</w:t>
            </w:r>
          </w:p>
          <w:p w14:paraId="16C051FD" w14:textId="666E8D49" w:rsidR="003E7971" w:rsidRDefault="003E7971" w:rsidP="003E7971">
            <w:pPr>
              <w:tabs>
                <w:tab w:val="left" w:pos="0"/>
              </w:tabs>
              <w:ind w:right="51"/>
              <w:jc w:val="both"/>
              <w:rPr>
                <w:rFonts w:asciiTheme="majorHAnsi" w:hAnsiTheme="majorHAnsi" w:cstheme="majorHAnsi"/>
                <w:bCs/>
                <w:spacing w:val="-3"/>
                <w:sz w:val="16"/>
                <w:szCs w:val="16"/>
              </w:rPr>
            </w:pPr>
            <w:r>
              <w:rPr>
                <w:rFonts w:asciiTheme="majorHAnsi" w:hAnsiTheme="majorHAnsi" w:cstheme="majorHAnsi"/>
                <w:bCs/>
                <w:spacing w:val="-3"/>
                <w:sz w:val="16"/>
                <w:szCs w:val="16"/>
              </w:rPr>
              <w:t>Casa de Bolsa controlará el cumplimiento de este límite</w:t>
            </w:r>
            <w:r w:rsidR="00643458">
              <w:rPr>
                <w:rFonts w:asciiTheme="majorHAnsi" w:hAnsiTheme="majorHAnsi" w:cstheme="majorHAnsi"/>
                <w:bCs/>
                <w:spacing w:val="-3"/>
                <w:sz w:val="16"/>
                <w:szCs w:val="16"/>
              </w:rPr>
              <w:t>, de acuerdo con lo indicado en la Cláusula Décima Quinta del Reglamento Marco para el Desarrollo de la Actividad de Distribución Especializada a través de Cuentas Ómnibus.</w:t>
            </w:r>
          </w:p>
        </w:tc>
      </w:tr>
      <w:tr w:rsidR="003E7971" w14:paraId="2C4019C5" w14:textId="77777777" w:rsidTr="00D536EC">
        <w:tc>
          <w:tcPr>
            <w:tcW w:w="2405" w:type="dxa"/>
          </w:tcPr>
          <w:p w14:paraId="016C99C4" w14:textId="513D6348" w:rsidR="003E7971" w:rsidRDefault="003E7971" w:rsidP="00D536EC">
            <w:pPr>
              <w:tabs>
                <w:tab w:val="left" w:pos="0"/>
              </w:tabs>
              <w:ind w:right="51"/>
              <w:jc w:val="both"/>
              <w:rPr>
                <w:rFonts w:asciiTheme="majorHAnsi" w:hAnsiTheme="majorHAnsi" w:cstheme="majorHAnsi"/>
                <w:b/>
                <w:spacing w:val="-3"/>
                <w:sz w:val="16"/>
                <w:szCs w:val="16"/>
              </w:rPr>
            </w:pPr>
            <w:r>
              <w:rPr>
                <w:rFonts w:asciiTheme="majorHAnsi" w:hAnsiTheme="majorHAnsi" w:cstheme="majorHAnsi"/>
                <w:b/>
                <w:spacing w:val="-3"/>
                <w:sz w:val="16"/>
                <w:szCs w:val="16"/>
              </w:rPr>
              <w:t>Redención de Participaciones:</w:t>
            </w:r>
          </w:p>
        </w:tc>
        <w:tc>
          <w:tcPr>
            <w:tcW w:w="6423" w:type="dxa"/>
          </w:tcPr>
          <w:p w14:paraId="12E9D243" w14:textId="2E4E08B6" w:rsidR="003E7971" w:rsidRPr="003E7971" w:rsidRDefault="003E7971" w:rsidP="003E7971">
            <w:pPr>
              <w:tabs>
                <w:tab w:val="left" w:pos="0"/>
              </w:tabs>
              <w:ind w:right="51"/>
              <w:jc w:val="both"/>
              <w:rPr>
                <w:rFonts w:asciiTheme="majorHAnsi" w:hAnsiTheme="majorHAnsi" w:cstheme="majorHAnsi"/>
                <w:bCs/>
                <w:spacing w:val="-3"/>
                <w:sz w:val="16"/>
                <w:szCs w:val="16"/>
              </w:rPr>
            </w:pPr>
            <w:r w:rsidRPr="003E7971">
              <w:rPr>
                <w:rFonts w:asciiTheme="majorHAnsi" w:hAnsiTheme="majorHAnsi" w:cstheme="majorHAnsi"/>
                <w:bCs/>
                <w:spacing w:val="-3"/>
                <w:sz w:val="16"/>
                <w:szCs w:val="16"/>
              </w:rPr>
              <w:t xml:space="preserve">Los inversionistas podrán redimir sus recursos en cualquier momento, el pago efectivo del retiro deberá efectuarse a más tardar al día hábil siguiente a la solicitud. Las unidades se liquidarán con el valor de la unidad vigente el día en que el inversionista realizó la solicitud de redención o rembolso. El día del pago se le informará al inversionista el número de unidades redimidas y el valor en pesos al </w:t>
            </w:r>
          </w:p>
          <w:p w14:paraId="78B83EA2" w14:textId="02B10410" w:rsidR="003E7971" w:rsidRPr="003E7971" w:rsidRDefault="003E7971" w:rsidP="003E7971">
            <w:pPr>
              <w:tabs>
                <w:tab w:val="left" w:pos="0"/>
              </w:tabs>
              <w:ind w:right="51"/>
              <w:jc w:val="both"/>
              <w:rPr>
                <w:rFonts w:asciiTheme="majorHAnsi" w:hAnsiTheme="majorHAnsi" w:cstheme="majorHAnsi"/>
                <w:bCs/>
                <w:spacing w:val="-3"/>
                <w:sz w:val="16"/>
                <w:szCs w:val="16"/>
              </w:rPr>
            </w:pPr>
            <w:r w:rsidRPr="003E7971">
              <w:rPr>
                <w:rFonts w:asciiTheme="majorHAnsi" w:hAnsiTheme="majorHAnsi" w:cstheme="majorHAnsi"/>
                <w:bCs/>
                <w:spacing w:val="-3"/>
                <w:sz w:val="16"/>
                <w:szCs w:val="16"/>
              </w:rPr>
              <w:t xml:space="preserve">cual fueron redimidas dichas unidades. La redención deberá efectuarse mediante abono en cuenta o cheque. </w:t>
            </w:r>
          </w:p>
          <w:p w14:paraId="0C98D19E" w14:textId="5BF59A66" w:rsidR="003E7971" w:rsidRPr="003E7971" w:rsidRDefault="003E7971" w:rsidP="003E7971">
            <w:pPr>
              <w:tabs>
                <w:tab w:val="left" w:pos="0"/>
              </w:tabs>
              <w:ind w:right="51"/>
              <w:jc w:val="both"/>
              <w:rPr>
                <w:rFonts w:asciiTheme="majorHAnsi" w:hAnsiTheme="majorHAnsi" w:cstheme="majorHAnsi"/>
                <w:bCs/>
                <w:spacing w:val="-3"/>
                <w:sz w:val="16"/>
                <w:szCs w:val="16"/>
              </w:rPr>
            </w:pPr>
            <w:r w:rsidRPr="003E7971">
              <w:rPr>
                <w:rFonts w:asciiTheme="majorHAnsi" w:hAnsiTheme="majorHAnsi" w:cstheme="majorHAnsi"/>
                <w:bCs/>
                <w:spacing w:val="-3"/>
                <w:sz w:val="16"/>
                <w:szCs w:val="16"/>
              </w:rPr>
              <w:t>El valor de los derechos que se rediman será cancelado de acuerdo con las instrucciones señaladas por el inversionista.</w:t>
            </w:r>
          </w:p>
          <w:p w14:paraId="066BFAD8" w14:textId="06706F49" w:rsidR="003E7971" w:rsidRPr="003E7971" w:rsidRDefault="003E7971" w:rsidP="003E7971">
            <w:pPr>
              <w:tabs>
                <w:tab w:val="left" w:pos="0"/>
              </w:tabs>
              <w:ind w:right="51"/>
              <w:jc w:val="both"/>
              <w:rPr>
                <w:rFonts w:asciiTheme="majorHAnsi" w:hAnsiTheme="majorHAnsi" w:cstheme="majorHAnsi"/>
                <w:bCs/>
                <w:spacing w:val="-3"/>
                <w:sz w:val="16"/>
                <w:szCs w:val="16"/>
              </w:rPr>
            </w:pPr>
            <w:r w:rsidRPr="003E7971">
              <w:rPr>
                <w:rFonts w:asciiTheme="majorHAnsi" w:hAnsiTheme="majorHAnsi" w:cstheme="majorHAnsi"/>
                <w:bCs/>
                <w:spacing w:val="-3"/>
                <w:sz w:val="16"/>
                <w:szCs w:val="16"/>
              </w:rPr>
              <w:t xml:space="preserve">En todo caso, cualquier retiro o rembolso por concepto de redención de participaciones deberá calcularse con base en el valor de la participación vigente para el día en que se realice la solicitud de retiro o rembolso. </w:t>
            </w:r>
          </w:p>
          <w:p w14:paraId="03EFF417" w14:textId="77777777" w:rsidR="003E7971" w:rsidRDefault="003E7971" w:rsidP="003E7971">
            <w:pPr>
              <w:tabs>
                <w:tab w:val="left" w:pos="0"/>
              </w:tabs>
              <w:ind w:right="51"/>
              <w:jc w:val="both"/>
              <w:rPr>
                <w:rFonts w:asciiTheme="majorHAnsi" w:hAnsiTheme="majorHAnsi" w:cstheme="majorHAnsi"/>
                <w:bCs/>
                <w:spacing w:val="-3"/>
                <w:sz w:val="16"/>
                <w:szCs w:val="16"/>
              </w:rPr>
            </w:pPr>
            <w:r w:rsidRPr="003E7971">
              <w:rPr>
                <w:rFonts w:asciiTheme="majorHAnsi" w:hAnsiTheme="majorHAnsi" w:cstheme="majorHAnsi"/>
                <w:bCs/>
                <w:spacing w:val="-3"/>
                <w:sz w:val="16"/>
                <w:szCs w:val="16"/>
              </w:rPr>
              <w:t>Los impuestos que se generen por la redención de participaciones</w:t>
            </w:r>
            <w:r>
              <w:rPr>
                <w:rFonts w:asciiTheme="majorHAnsi" w:hAnsiTheme="majorHAnsi" w:cstheme="majorHAnsi"/>
                <w:bCs/>
                <w:spacing w:val="-3"/>
                <w:sz w:val="16"/>
                <w:szCs w:val="16"/>
              </w:rPr>
              <w:t xml:space="preserve"> </w:t>
            </w:r>
            <w:r w:rsidRPr="003E7971">
              <w:rPr>
                <w:rFonts w:asciiTheme="majorHAnsi" w:hAnsiTheme="majorHAnsi" w:cstheme="majorHAnsi"/>
                <w:bCs/>
                <w:spacing w:val="-3"/>
                <w:sz w:val="16"/>
                <w:szCs w:val="16"/>
              </w:rPr>
              <w:t xml:space="preserve">estarán a cargo del inversionista y se considerará como un mayor valor de retiro. </w:t>
            </w:r>
          </w:p>
          <w:p w14:paraId="3E53B47E" w14:textId="045C1888" w:rsidR="003E7971" w:rsidRPr="00615B30" w:rsidRDefault="003E7971" w:rsidP="003E7971">
            <w:pPr>
              <w:tabs>
                <w:tab w:val="left" w:pos="0"/>
              </w:tabs>
              <w:ind w:right="51"/>
              <w:jc w:val="both"/>
              <w:rPr>
                <w:rFonts w:asciiTheme="majorHAnsi" w:hAnsiTheme="majorHAnsi" w:cstheme="majorHAnsi"/>
                <w:bCs/>
                <w:spacing w:val="-3"/>
                <w:sz w:val="16"/>
                <w:szCs w:val="16"/>
              </w:rPr>
            </w:pPr>
            <w:r>
              <w:rPr>
                <w:rFonts w:asciiTheme="majorHAnsi" w:hAnsiTheme="majorHAnsi" w:cstheme="majorHAnsi"/>
                <w:bCs/>
                <w:spacing w:val="-3"/>
                <w:sz w:val="16"/>
                <w:szCs w:val="16"/>
              </w:rPr>
              <w:t>La Asamblea de inversionistas o la Junta Directiva de la sociedad administradora, la Fiduciaria Corficolombiana, podrán tomar la decisión de suspender la redención de participaciones, en los eventos indicados en l</w:t>
            </w:r>
            <w:r w:rsidR="00924040">
              <w:rPr>
                <w:rFonts w:asciiTheme="majorHAnsi" w:hAnsiTheme="majorHAnsi" w:cstheme="majorHAnsi"/>
                <w:bCs/>
                <w:spacing w:val="-3"/>
                <w:sz w:val="16"/>
                <w:szCs w:val="16"/>
              </w:rPr>
              <w:t xml:space="preserve">a cláusula 4.6. y 4.6.1. del reglamento de </w:t>
            </w:r>
            <w:r w:rsidR="00924040" w:rsidRPr="00621DBB">
              <w:rPr>
                <w:rFonts w:asciiTheme="majorHAnsi" w:hAnsiTheme="majorHAnsi" w:cstheme="majorHAnsi"/>
                <w:bCs/>
                <w:spacing w:val="-3"/>
                <w:sz w:val="16"/>
                <w:szCs w:val="16"/>
                <w:u w:val="single"/>
              </w:rPr>
              <w:t>El Fondo 1525</w:t>
            </w:r>
            <w:r w:rsidR="00621DBB" w:rsidRPr="00621DBB">
              <w:rPr>
                <w:rFonts w:asciiTheme="majorHAnsi" w:hAnsiTheme="majorHAnsi" w:cstheme="majorHAnsi"/>
                <w:bCs/>
                <w:spacing w:val="-3"/>
                <w:sz w:val="16"/>
                <w:szCs w:val="16"/>
                <w:u w:val="single"/>
              </w:rPr>
              <w:t xml:space="preserve"> Plus</w:t>
            </w:r>
            <w:r w:rsidR="00924040">
              <w:rPr>
                <w:rFonts w:asciiTheme="majorHAnsi" w:hAnsiTheme="majorHAnsi" w:cstheme="majorHAnsi"/>
                <w:bCs/>
                <w:spacing w:val="-3"/>
                <w:sz w:val="16"/>
                <w:szCs w:val="16"/>
              </w:rPr>
              <w:t>.</w:t>
            </w:r>
          </w:p>
        </w:tc>
      </w:tr>
      <w:tr w:rsidR="00643458" w14:paraId="532421C0" w14:textId="77777777" w:rsidTr="00D536EC">
        <w:tc>
          <w:tcPr>
            <w:tcW w:w="2405" w:type="dxa"/>
          </w:tcPr>
          <w:p w14:paraId="5845E8DD" w14:textId="7827187B" w:rsidR="00643458" w:rsidRDefault="00643458" w:rsidP="00D536EC">
            <w:pPr>
              <w:tabs>
                <w:tab w:val="left" w:pos="0"/>
              </w:tabs>
              <w:ind w:right="51"/>
              <w:jc w:val="both"/>
              <w:rPr>
                <w:rFonts w:asciiTheme="majorHAnsi" w:hAnsiTheme="majorHAnsi" w:cstheme="majorHAnsi"/>
                <w:b/>
                <w:spacing w:val="-3"/>
                <w:sz w:val="16"/>
                <w:szCs w:val="16"/>
              </w:rPr>
            </w:pPr>
            <w:r>
              <w:rPr>
                <w:rFonts w:asciiTheme="majorHAnsi" w:hAnsiTheme="majorHAnsi" w:cstheme="majorHAnsi"/>
                <w:b/>
                <w:spacing w:val="-3"/>
                <w:sz w:val="16"/>
                <w:szCs w:val="16"/>
              </w:rPr>
              <w:t>Entrega de Recursos:</w:t>
            </w:r>
          </w:p>
        </w:tc>
        <w:tc>
          <w:tcPr>
            <w:tcW w:w="6423" w:type="dxa"/>
          </w:tcPr>
          <w:p w14:paraId="0D035016" w14:textId="78723330" w:rsidR="00643458" w:rsidRPr="003E7971" w:rsidRDefault="00643458" w:rsidP="003E7971">
            <w:pPr>
              <w:tabs>
                <w:tab w:val="left" w:pos="0"/>
              </w:tabs>
              <w:ind w:right="51"/>
              <w:jc w:val="both"/>
              <w:rPr>
                <w:rFonts w:asciiTheme="majorHAnsi" w:hAnsiTheme="majorHAnsi" w:cstheme="majorHAnsi"/>
                <w:bCs/>
                <w:spacing w:val="-3"/>
                <w:sz w:val="16"/>
                <w:szCs w:val="16"/>
              </w:rPr>
            </w:pPr>
            <w:r>
              <w:rPr>
                <w:rFonts w:asciiTheme="majorHAnsi" w:hAnsiTheme="majorHAnsi" w:cstheme="majorHAnsi"/>
                <w:bCs/>
                <w:spacing w:val="-3"/>
                <w:sz w:val="16"/>
                <w:szCs w:val="16"/>
              </w:rPr>
              <w:t xml:space="preserve">La entrega de recursos para la participación en </w:t>
            </w:r>
            <w:r w:rsidRPr="00643458">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Pr>
                <w:rFonts w:asciiTheme="majorHAnsi" w:hAnsiTheme="majorHAnsi" w:cstheme="majorHAnsi"/>
                <w:bCs/>
                <w:spacing w:val="-3"/>
                <w:sz w:val="16"/>
                <w:szCs w:val="16"/>
              </w:rPr>
              <w:t xml:space="preserve">, deberá efectuarse en las cuentas que Casa de Bolsa disponga para tales efectos, teniendo en cuenta lo previsto en la Cláusula Décima Cuarta del </w:t>
            </w:r>
            <w:r w:rsidR="00FF5B27">
              <w:rPr>
                <w:rFonts w:asciiTheme="majorHAnsi" w:hAnsiTheme="majorHAnsi" w:cstheme="majorHAnsi"/>
                <w:bCs/>
                <w:spacing w:val="-3"/>
                <w:sz w:val="16"/>
                <w:szCs w:val="16"/>
              </w:rPr>
              <w:t>Reglamento Marco para el Desarrollo de la Actividad de Distribución Especializada a través de Cuentas Ómnibus.</w:t>
            </w:r>
          </w:p>
        </w:tc>
      </w:tr>
    </w:tbl>
    <w:p w14:paraId="0417E23C" w14:textId="234EC668" w:rsidR="00D536EC" w:rsidRDefault="00D536EC" w:rsidP="00D536EC">
      <w:pPr>
        <w:tabs>
          <w:tab w:val="left" w:pos="0"/>
        </w:tabs>
        <w:spacing w:after="0" w:line="240" w:lineRule="auto"/>
        <w:ind w:right="51"/>
        <w:jc w:val="both"/>
        <w:rPr>
          <w:rFonts w:asciiTheme="majorHAnsi" w:hAnsiTheme="majorHAnsi" w:cstheme="majorHAnsi"/>
          <w:b/>
          <w:spacing w:val="-3"/>
          <w:sz w:val="16"/>
          <w:szCs w:val="16"/>
        </w:rPr>
      </w:pPr>
    </w:p>
    <w:p w14:paraId="165B3911" w14:textId="77777777" w:rsidR="00924040" w:rsidRDefault="00924040" w:rsidP="00924040">
      <w:pPr>
        <w:pStyle w:val="Prrafodelista"/>
        <w:tabs>
          <w:tab w:val="left" w:pos="0"/>
        </w:tabs>
        <w:spacing w:after="0" w:line="240" w:lineRule="auto"/>
        <w:ind w:left="1080" w:right="51"/>
        <w:jc w:val="both"/>
        <w:rPr>
          <w:rFonts w:asciiTheme="majorHAnsi" w:hAnsiTheme="majorHAnsi" w:cstheme="majorHAnsi"/>
          <w:b/>
          <w:spacing w:val="-3"/>
          <w:sz w:val="16"/>
          <w:szCs w:val="16"/>
        </w:rPr>
      </w:pPr>
    </w:p>
    <w:p w14:paraId="1EB22E6B" w14:textId="167E2CAB" w:rsidR="00916E9B" w:rsidRPr="008A0E23" w:rsidRDefault="006F1328" w:rsidP="006F1328">
      <w:pPr>
        <w:pStyle w:val="Prrafodelista"/>
        <w:numPr>
          <w:ilvl w:val="0"/>
          <w:numId w:val="4"/>
        </w:numPr>
        <w:tabs>
          <w:tab w:val="left" w:pos="0"/>
        </w:tabs>
        <w:spacing w:after="0" w:line="240" w:lineRule="auto"/>
        <w:ind w:right="51"/>
        <w:jc w:val="both"/>
        <w:rPr>
          <w:rFonts w:asciiTheme="majorHAnsi" w:hAnsiTheme="majorHAnsi" w:cstheme="majorHAnsi"/>
          <w:b/>
          <w:spacing w:val="-3"/>
          <w:sz w:val="16"/>
          <w:szCs w:val="16"/>
        </w:rPr>
      </w:pPr>
      <w:r w:rsidRPr="00C767A8">
        <w:rPr>
          <w:rFonts w:asciiTheme="majorHAnsi" w:hAnsiTheme="majorHAnsi" w:cstheme="majorHAnsi"/>
          <w:b/>
          <w:spacing w:val="-3"/>
          <w:sz w:val="16"/>
          <w:szCs w:val="16"/>
          <w:u w:val="single"/>
        </w:rPr>
        <w:t>Riesgos de</w:t>
      </w:r>
      <w:r w:rsidR="00656A79" w:rsidRPr="008A0E23">
        <w:rPr>
          <w:rFonts w:asciiTheme="majorHAnsi" w:hAnsiTheme="majorHAnsi" w:cstheme="majorHAnsi"/>
          <w:b/>
          <w:spacing w:val="-3"/>
          <w:sz w:val="16"/>
          <w:szCs w:val="16"/>
        </w:rPr>
        <w:t xml:space="preserve"> </w:t>
      </w:r>
      <w:r w:rsidR="00656A79" w:rsidRPr="008A0E23">
        <w:rPr>
          <w:rFonts w:asciiTheme="majorHAnsi" w:hAnsiTheme="majorHAnsi" w:cstheme="majorHAnsi"/>
          <w:b/>
          <w:spacing w:val="-3"/>
          <w:sz w:val="16"/>
          <w:szCs w:val="16"/>
          <w:u w:val="single"/>
        </w:rPr>
        <w:t xml:space="preserve">El </w:t>
      </w:r>
      <w:r w:rsidRPr="008A0E23">
        <w:rPr>
          <w:rFonts w:asciiTheme="majorHAnsi" w:hAnsiTheme="majorHAnsi" w:cstheme="majorHAnsi"/>
          <w:b/>
          <w:spacing w:val="-3"/>
          <w:sz w:val="16"/>
          <w:szCs w:val="16"/>
          <w:u w:val="single"/>
        </w:rPr>
        <w:t xml:space="preserve">Fondo </w:t>
      </w:r>
      <w:r w:rsidR="00656A79" w:rsidRPr="008A0E23">
        <w:rPr>
          <w:rFonts w:asciiTheme="majorHAnsi" w:hAnsiTheme="majorHAnsi" w:cstheme="majorHAnsi"/>
          <w:b/>
          <w:spacing w:val="-3"/>
          <w:sz w:val="16"/>
          <w:szCs w:val="16"/>
          <w:u w:val="single"/>
        </w:rPr>
        <w:t>1525</w:t>
      </w:r>
      <w:r w:rsidR="00621DBB">
        <w:rPr>
          <w:rFonts w:asciiTheme="majorHAnsi" w:hAnsiTheme="majorHAnsi" w:cstheme="majorHAnsi"/>
          <w:b/>
          <w:spacing w:val="-3"/>
          <w:sz w:val="16"/>
          <w:szCs w:val="16"/>
          <w:u w:val="single"/>
        </w:rPr>
        <w:t xml:space="preserve"> Plus</w:t>
      </w:r>
      <w:r w:rsidRPr="008A0E23">
        <w:rPr>
          <w:rFonts w:asciiTheme="majorHAnsi" w:hAnsiTheme="majorHAnsi" w:cstheme="majorHAnsi"/>
          <w:b/>
          <w:spacing w:val="-3"/>
          <w:sz w:val="16"/>
          <w:szCs w:val="16"/>
        </w:rPr>
        <w:t>:</w:t>
      </w:r>
    </w:p>
    <w:p w14:paraId="16F0BCF6" w14:textId="2635ADE0" w:rsidR="006F1328" w:rsidRPr="008A0E23" w:rsidRDefault="006F1328" w:rsidP="006F1328">
      <w:pPr>
        <w:tabs>
          <w:tab w:val="left" w:pos="0"/>
        </w:tabs>
        <w:spacing w:after="0" w:line="240" w:lineRule="auto"/>
        <w:ind w:right="51"/>
        <w:jc w:val="both"/>
        <w:rPr>
          <w:rFonts w:asciiTheme="majorHAnsi" w:hAnsiTheme="majorHAnsi" w:cstheme="majorHAnsi"/>
          <w:b/>
          <w:spacing w:val="-3"/>
          <w:sz w:val="16"/>
          <w:szCs w:val="16"/>
        </w:rPr>
      </w:pPr>
    </w:p>
    <w:p w14:paraId="745C1E5F" w14:textId="701CC166" w:rsidR="006F1328" w:rsidRPr="008A0E23" w:rsidRDefault="003003D8" w:rsidP="006F1328">
      <w:pPr>
        <w:tabs>
          <w:tab w:val="left" w:pos="0"/>
        </w:tabs>
        <w:spacing w:after="0" w:line="240" w:lineRule="auto"/>
        <w:ind w:right="51"/>
        <w:jc w:val="both"/>
        <w:rPr>
          <w:rFonts w:asciiTheme="majorHAnsi" w:hAnsiTheme="majorHAnsi" w:cstheme="majorHAnsi"/>
          <w:bCs/>
          <w:spacing w:val="-3"/>
          <w:sz w:val="16"/>
          <w:szCs w:val="16"/>
        </w:rPr>
      </w:pPr>
      <w:r>
        <w:rPr>
          <w:rFonts w:asciiTheme="majorHAnsi" w:hAnsiTheme="majorHAnsi" w:cstheme="majorHAnsi"/>
          <w:bCs/>
          <w:spacing w:val="-3"/>
          <w:sz w:val="16"/>
          <w:szCs w:val="16"/>
        </w:rPr>
        <w:lastRenderedPageBreak/>
        <w:t xml:space="preserve">A </w:t>
      </w:r>
      <w:proofErr w:type="gramStart"/>
      <w:r>
        <w:rPr>
          <w:rFonts w:asciiTheme="majorHAnsi" w:hAnsiTheme="majorHAnsi" w:cstheme="majorHAnsi"/>
          <w:bCs/>
          <w:spacing w:val="-3"/>
          <w:sz w:val="16"/>
          <w:szCs w:val="16"/>
        </w:rPr>
        <w:t>continuación</w:t>
      </w:r>
      <w:proofErr w:type="gramEnd"/>
      <w:r>
        <w:rPr>
          <w:rFonts w:asciiTheme="majorHAnsi" w:hAnsiTheme="majorHAnsi" w:cstheme="majorHAnsi"/>
          <w:bCs/>
          <w:spacing w:val="-3"/>
          <w:sz w:val="16"/>
          <w:szCs w:val="16"/>
        </w:rPr>
        <w:t xml:space="preserve"> se presentan los riesgos a los cuales está expuesta l</w:t>
      </w:r>
      <w:r w:rsidR="004F0D2D" w:rsidRPr="008A0E23">
        <w:rPr>
          <w:rFonts w:asciiTheme="majorHAnsi" w:hAnsiTheme="majorHAnsi" w:cstheme="majorHAnsi"/>
          <w:bCs/>
          <w:spacing w:val="-3"/>
          <w:sz w:val="16"/>
          <w:szCs w:val="16"/>
        </w:rPr>
        <w:t xml:space="preserve">a inversión en </w:t>
      </w:r>
      <w:r w:rsidR="004F0D2D" w:rsidRPr="008A0E23">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Pr>
          <w:rFonts w:asciiTheme="majorHAnsi" w:hAnsiTheme="majorHAnsi" w:cstheme="majorHAnsi"/>
          <w:bCs/>
          <w:spacing w:val="-3"/>
          <w:sz w:val="16"/>
          <w:szCs w:val="16"/>
        </w:rPr>
        <w:t>, recomendando al inversionista la lectura integral de</w:t>
      </w:r>
      <w:r w:rsidR="00363E82">
        <w:rPr>
          <w:rFonts w:asciiTheme="majorHAnsi" w:hAnsiTheme="majorHAnsi" w:cstheme="majorHAnsi"/>
          <w:bCs/>
          <w:spacing w:val="-3"/>
          <w:sz w:val="16"/>
          <w:szCs w:val="16"/>
        </w:rPr>
        <w:t xml:space="preserve"> la Cláusula 2.4. </w:t>
      </w:r>
      <w:proofErr w:type="gramStart"/>
      <w:r w:rsidR="00363E82">
        <w:rPr>
          <w:rFonts w:asciiTheme="majorHAnsi" w:hAnsiTheme="majorHAnsi" w:cstheme="majorHAnsi"/>
          <w:bCs/>
          <w:spacing w:val="-3"/>
          <w:sz w:val="16"/>
          <w:szCs w:val="16"/>
        </w:rPr>
        <w:t>.-</w:t>
      </w:r>
      <w:proofErr w:type="gramEnd"/>
      <w:r w:rsidR="00363E82">
        <w:rPr>
          <w:rFonts w:asciiTheme="majorHAnsi" w:hAnsiTheme="majorHAnsi" w:cstheme="majorHAnsi"/>
          <w:bCs/>
          <w:spacing w:val="-3"/>
          <w:sz w:val="16"/>
          <w:szCs w:val="16"/>
        </w:rPr>
        <w:t xml:space="preserve"> Riesgo del Fondo de Inversión Colectiva del Capítulo II Política de Inversión del Fondo de Inversión Colectiva del Reglamento de </w:t>
      </w:r>
      <w:r w:rsidR="00363E82" w:rsidRPr="003003D8">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sidR="00363E82" w:rsidRPr="00363E82">
        <w:rPr>
          <w:rFonts w:asciiTheme="majorHAnsi" w:hAnsiTheme="majorHAnsi" w:cstheme="majorHAnsi"/>
          <w:bCs/>
          <w:spacing w:val="-3"/>
          <w:sz w:val="16"/>
          <w:szCs w:val="16"/>
        </w:rPr>
        <w:t>:</w:t>
      </w:r>
    </w:p>
    <w:p w14:paraId="126ECBF3" w14:textId="721F8BF0" w:rsidR="006F1328" w:rsidRPr="008A0E23" w:rsidRDefault="006F1328" w:rsidP="006F1328">
      <w:pPr>
        <w:tabs>
          <w:tab w:val="left" w:pos="0"/>
        </w:tabs>
        <w:spacing w:after="0" w:line="240" w:lineRule="auto"/>
        <w:ind w:right="51"/>
        <w:jc w:val="both"/>
        <w:rPr>
          <w:rFonts w:asciiTheme="majorHAnsi" w:hAnsiTheme="majorHAnsi" w:cstheme="majorHAnsi"/>
          <w:bCs/>
          <w:spacing w:val="-3"/>
          <w:sz w:val="16"/>
          <w:szCs w:val="16"/>
        </w:rPr>
      </w:pPr>
    </w:p>
    <w:p w14:paraId="2A5BF433" w14:textId="24B41508" w:rsidR="006F1328" w:rsidRPr="008A0E23" w:rsidRDefault="006F1328" w:rsidP="006F1328">
      <w:pPr>
        <w:tabs>
          <w:tab w:val="left" w:pos="0"/>
        </w:tabs>
        <w:spacing w:after="0" w:line="240" w:lineRule="auto"/>
        <w:ind w:right="51"/>
        <w:jc w:val="both"/>
        <w:rPr>
          <w:rFonts w:asciiTheme="majorHAnsi" w:hAnsiTheme="majorHAnsi" w:cstheme="majorHAnsi"/>
          <w:b/>
          <w:spacing w:val="-3"/>
          <w:sz w:val="16"/>
          <w:szCs w:val="16"/>
        </w:rPr>
      </w:pPr>
    </w:p>
    <w:tbl>
      <w:tblPr>
        <w:tblW w:w="8984" w:type="dxa"/>
        <w:tblInd w:w="-10" w:type="dxa"/>
        <w:tblCellMar>
          <w:left w:w="70" w:type="dxa"/>
          <w:right w:w="70" w:type="dxa"/>
        </w:tblCellMar>
        <w:tblLook w:val="04A0" w:firstRow="1" w:lastRow="0" w:firstColumn="1" w:lastColumn="0" w:noHBand="0" w:noVBand="1"/>
      </w:tblPr>
      <w:tblGrid>
        <w:gridCol w:w="2453"/>
        <w:gridCol w:w="6531"/>
      </w:tblGrid>
      <w:tr w:rsidR="006F1328" w:rsidRPr="008A0E23" w14:paraId="428840C6" w14:textId="77777777" w:rsidTr="008E5679">
        <w:trPr>
          <w:trHeight w:val="315"/>
        </w:trPr>
        <w:tc>
          <w:tcPr>
            <w:tcW w:w="2453" w:type="dxa"/>
            <w:tcBorders>
              <w:top w:val="single" w:sz="4" w:space="0" w:color="auto"/>
              <w:left w:val="single" w:sz="8" w:space="0" w:color="auto"/>
              <w:bottom w:val="single" w:sz="8" w:space="0" w:color="auto"/>
              <w:right w:val="single" w:sz="8" w:space="0" w:color="auto"/>
            </w:tcBorders>
            <w:shd w:val="clear" w:color="auto" w:fill="auto"/>
            <w:noWrap/>
            <w:hideMark/>
          </w:tcPr>
          <w:p w14:paraId="3DCF110F" w14:textId="5783B38A" w:rsidR="006F1328" w:rsidRPr="008A0E23" w:rsidRDefault="006F1328" w:rsidP="006F1328">
            <w:pPr>
              <w:tabs>
                <w:tab w:val="left" w:pos="0"/>
              </w:tabs>
              <w:spacing w:after="0" w:line="240" w:lineRule="auto"/>
              <w:ind w:right="51"/>
              <w:jc w:val="both"/>
              <w:rPr>
                <w:rFonts w:asciiTheme="majorHAnsi" w:hAnsiTheme="majorHAnsi" w:cstheme="majorHAnsi"/>
                <w:b/>
                <w:spacing w:val="-3"/>
                <w:sz w:val="16"/>
                <w:szCs w:val="16"/>
              </w:rPr>
            </w:pPr>
            <w:r w:rsidRPr="008A0E23">
              <w:rPr>
                <w:rFonts w:asciiTheme="majorHAnsi" w:hAnsiTheme="majorHAnsi" w:cstheme="majorHAnsi"/>
                <w:b/>
                <w:spacing w:val="-3"/>
                <w:sz w:val="16"/>
                <w:szCs w:val="16"/>
              </w:rPr>
              <w:t xml:space="preserve">Riesgo </w:t>
            </w:r>
            <w:r w:rsidR="008A0E23" w:rsidRPr="008A0E23">
              <w:rPr>
                <w:rFonts w:asciiTheme="majorHAnsi" w:hAnsiTheme="majorHAnsi" w:cstheme="majorHAnsi"/>
                <w:b/>
                <w:spacing w:val="-3"/>
                <w:sz w:val="16"/>
                <w:szCs w:val="16"/>
              </w:rPr>
              <w:t>Emisor</w:t>
            </w:r>
            <w:r w:rsidRPr="008A0E23">
              <w:rPr>
                <w:rFonts w:asciiTheme="majorHAnsi" w:hAnsiTheme="majorHAnsi" w:cstheme="majorHAnsi"/>
                <w:b/>
                <w:spacing w:val="-3"/>
                <w:sz w:val="16"/>
                <w:szCs w:val="16"/>
              </w:rPr>
              <w:t>:</w:t>
            </w:r>
          </w:p>
        </w:tc>
        <w:tc>
          <w:tcPr>
            <w:tcW w:w="6531" w:type="dxa"/>
            <w:tcBorders>
              <w:top w:val="single" w:sz="4" w:space="0" w:color="auto"/>
              <w:left w:val="nil"/>
              <w:bottom w:val="single" w:sz="8" w:space="0" w:color="auto"/>
              <w:right w:val="single" w:sz="8" w:space="0" w:color="auto"/>
            </w:tcBorders>
            <w:shd w:val="clear" w:color="auto" w:fill="auto"/>
            <w:noWrap/>
            <w:hideMark/>
          </w:tcPr>
          <w:p w14:paraId="04E5AFBD" w14:textId="02309B0B" w:rsidR="008A0E23" w:rsidRPr="008A0E23" w:rsidRDefault="008A0E23" w:rsidP="008A0E23">
            <w:pPr>
              <w:tabs>
                <w:tab w:val="left" w:pos="0"/>
              </w:tabs>
              <w:spacing w:after="0" w:line="240" w:lineRule="auto"/>
              <w:ind w:right="51"/>
              <w:jc w:val="both"/>
              <w:rPr>
                <w:rFonts w:asciiTheme="majorHAnsi" w:hAnsiTheme="majorHAnsi" w:cstheme="majorHAnsi"/>
                <w:bCs/>
                <w:spacing w:val="-3"/>
                <w:sz w:val="16"/>
                <w:szCs w:val="16"/>
              </w:rPr>
            </w:pPr>
            <w:r w:rsidRPr="008A0E23">
              <w:rPr>
                <w:rFonts w:asciiTheme="majorHAnsi" w:hAnsiTheme="majorHAnsi" w:cstheme="majorHAnsi"/>
                <w:bCs/>
                <w:spacing w:val="-3"/>
                <w:sz w:val="16"/>
                <w:szCs w:val="16"/>
              </w:rPr>
              <w:t xml:space="preserve">Es la contingencia de pérdida por el deterioro en la estructura financiera del emisor o garante de un título valor, que pueda generar disminución en el valor de la inversión o en la capacidad de pago, total o parcial, de los rendimientos o del capital de la inversión. Para mitigar este riesgo, el riesgo de un emisor y la calidad de su estructura financiera se analizan para la asignación de cupos, empleando una de las metodologías de mayor divulgación para la medición del riesgo de entidades financieras, denominada Metodología CAMEL. Posteriormente estos cupos son aprobados por la instancia respectiva, a los cuales se les hace seguimiento mensual de las cifras del sector financiero. </w:t>
            </w:r>
          </w:p>
          <w:p w14:paraId="4BCE405E" w14:textId="0ECA7819" w:rsidR="006F1328" w:rsidRPr="008A0E23" w:rsidRDefault="008A0E23" w:rsidP="008A0E23">
            <w:pPr>
              <w:tabs>
                <w:tab w:val="left" w:pos="0"/>
              </w:tabs>
              <w:spacing w:after="0" w:line="240" w:lineRule="auto"/>
              <w:ind w:right="51"/>
              <w:jc w:val="both"/>
              <w:rPr>
                <w:rFonts w:asciiTheme="majorHAnsi" w:hAnsiTheme="majorHAnsi" w:cstheme="majorHAnsi"/>
                <w:bCs/>
                <w:spacing w:val="-3"/>
                <w:sz w:val="16"/>
                <w:szCs w:val="16"/>
              </w:rPr>
            </w:pPr>
            <w:r w:rsidRPr="008A0E23">
              <w:rPr>
                <w:rFonts w:asciiTheme="majorHAnsi" w:hAnsiTheme="majorHAnsi" w:cstheme="majorHAnsi"/>
                <w:bCs/>
                <w:spacing w:val="-3"/>
                <w:sz w:val="16"/>
                <w:szCs w:val="16"/>
              </w:rPr>
              <w:t>Para los cupos del sector real se cuenta con el análisis de crédito para el mercado objetivo de personas jurídicas y naturales con actividades lícitas que se asimilen a establecimientos comerciales o industriales en los grupos empresarial, corporativo mediano y corporativo grande, empresas y personas naturales con actividad económica definida que por su manejo, características de sus administradores y potencial de desarrollo, puedan asimilarse a empresas medianas y clientes o proveedores de empresas objetivo ya vinculadas, que sean avaladas por estas últimas.</w:t>
            </w:r>
          </w:p>
        </w:tc>
      </w:tr>
      <w:tr w:rsidR="006F1328" w:rsidRPr="008A0E23" w14:paraId="54A100F6" w14:textId="77777777" w:rsidTr="008E5679">
        <w:trPr>
          <w:trHeight w:val="315"/>
        </w:trPr>
        <w:tc>
          <w:tcPr>
            <w:tcW w:w="2453" w:type="dxa"/>
            <w:tcBorders>
              <w:top w:val="nil"/>
              <w:left w:val="single" w:sz="8" w:space="0" w:color="auto"/>
              <w:bottom w:val="single" w:sz="8" w:space="0" w:color="auto"/>
              <w:right w:val="single" w:sz="8" w:space="0" w:color="auto"/>
            </w:tcBorders>
            <w:shd w:val="clear" w:color="auto" w:fill="auto"/>
            <w:noWrap/>
            <w:hideMark/>
          </w:tcPr>
          <w:p w14:paraId="0029B19E" w14:textId="3380BC6C" w:rsidR="006F1328" w:rsidRPr="008A0E23" w:rsidRDefault="008A0E23" w:rsidP="006F1328">
            <w:pPr>
              <w:tabs>
                <w:tab w:val="left" w:pos="0"/>
              </w:tabs>
              <w:spacing w:after="0" w:line="240" w:lineRule="auto"/>
              <w:ind w:right="51"/>
              <w:jc w:val="both"/>
              <w:rPr>
                <w:rFonts w:asciiTheme="majorHAnsi" w:hAnsiTheme="majorHAnsi" w:cstheme="majorHAnsi"/>
                <w:b/>
                <w:spacing w:val="-3"/>
                <w:sz w:val="16"/>
                <w:szCs w:val="16"/>
              </w:rPr>
            </w:pPr>
            <w:r w:rsidRPr="008A0E23">
              <w:rPr>
                <w:rFonts w:asciiTheme="majorHAnsi" w:hAnsiTheme="majorHAnsi" w:cstheme="majorHAnsi"/>
                <w:b/>
                <w:spacing w:val="-3"/>
                <w:sz w:val="16"/>
                <w:szCs w:val="16"/>
              </w:rPr>
              <w:t>Riesgo de Contraparte o Crédito:</w:t>
            </w:r>
          </w:p>
        </w:tc>
        <w:tc>
          <w:tcPr>
            <w:tcW w:w="6531" w:type="dxa"/>
            <w:tcBorders>
              <w:top w:val="nil"/>
              <w:left w:val="nil"/>
              <w:bottom w:val="single" w:sz="8" w:space="0" w:color="auto"/>
              <w:right w:val="single" w:sz="8" w:space="0" w:color="auto"/>
            </w:tcBorders>
            <w:shd w:val="clear" w:color="auto" w:fill="auto"/>
            <w:noWrap/>
            <w:hideMark/>
          </w:tcPr>
          <w:p w14:paraId="5A8FAB07" w14:textId="5D4B850C" w:rsidR="006F1328" w:rsidRPr="008A0E23" w:rsidRDefault="008A0E23" w:rsidP="008A0E23">
            <w:pPr>
              <w:tabs>
                <w:tab w:val="left" w:pos="0"/>
              </w:tabs>
              <w:spacing w:after="0" w:line="240" w:lineRule="auto"/>
              <w:ind w:right="51"/>
              <w:jc w:val="both"/>
              <w:rPr>
                <w:rFonts w:asciiTheme="majorHAnsi" w:hAnsiTheme="majorHAnsi" w:cstheme="majorHAnsi"/>
                <w:bCs/>
                <w:spacing w:val="-3"/>
                <w:sz w:val="16"/>
                <w:szCs w:val="16"/>
              </w:rPr>
            </w:pPr>
            <w:r w:rsidRPr="008A0E23">
              <w:rPr>
                <w:rFonts w:asciiTheme="majorHAnsi" w:hAnsiTheme="majorHAnsi" w:cstheme="majorHAnsi"/>
                <w:bCs/>
                <w:spacing w:val="-3"/>
                <w:sz w:val="16"/>
                <w:szCs w:val="16"/>
              </w:rPr>
              <w:t>Es la eventualidad de que una</w:t>
            </w:r>
            <w:r>
              <w:rPr>
                <w:rFonts w:asciiTheme="majorHAnsi" w:hAnsiTheme="majorHAnsi" w:cstheme="majorHAnsi"/>
                <w:bCs/>
                <w:spacing w:val="-3"/>
                <w:sz w:val="16"/>
                <w:szCs w:val="16"/>
              </w:rPr>
              <w:t xml:space="preserve"> </w:t>
            </w:r>
            <w:r w:rsidRPr="008A0E23">
              <w:rPr>
                <w:rFonts w:asciiTheme="majorHAnsi" w:hAnsiTheme="majorHAnsi" w:cstheme="majorHAnsi"/>
                <w:bCs/>
                <w:spacing w:val="-3"/>
                <w:sz w:val="16"/>
                <w:szCs w:val="16"/>
              </w:rPr>
              <w:t>contraparte incumpla el pago parcial o total de una obligación o de alguna de sus condiciones. Para mitigar los incumplimientos, se ha definido que todas las operaciones sobre valores se realicen a través de un sistema de negociación de valores o un sistema de registro de operaciones autorizado por la Superintendencia Financiera de Colombia. Para mitigar este riesgo, el riesgo de una contraparte y la calidad de su estructura financiera se analizan para la asignación de cupos, empleando una de las metodologías de mayor divulgación para la medición del riesgo de entidades financieras, denominada Metodología CAMEL. Posteriormente estos cupos son aprobados por la instancia respectiva, a los cuales se les hace seguimiento mensual de las cifras del sector financiero.</w:t>
            </w:r>
          </w:p>
        </w:tc>
      </w:tr>
      <w:tr w:rsidR="006F1328" w:rsidRPr="008A0E23" w14:paraId="16C013BE" w14:textId="77777777" w:rsidTr="008E5679">
        <w:trPr>
          <w:trHeight w:val="315"/>
        </w:trPr>
        <w:tc>
          <w:tcPr>
            <w:tcW w:w="2453" w:type="dxa"/>
            <w:tcBorders>
              <w:top w:val="nil"/>
              <w:left w:val="single" w:sz="8" w:space="0" w:color="auto"/>
              <w:bottom w:val="single" w:sz="8" w:space="0" w:color="auto"/>
              <w:right w:val="single" w:sz="8" w:space="0" w:color="auto"/>
            </w:tcBorders>
            <w:shd w:val="clear" w:color="auto" w:fill="auto"/>
            <w:noWrap/>
          </w:tcPr>
          <w:p w14:paraId="3FAEC84A" w14:textId="4956BDFF" w:rsidR="006F1328" w:rsidRPr="008A0E23" w:rsidRDefault="008A0E23" w:rsidP="006F1328">
            <w:pPr>
              <w:tabs>
                <w:tab w:val="left" w:pos="0"/>
              </w:tabs>
              <w:spacing w:after="0" w:line="240" w:lineRule="auto"/>
              <w:ind w:right="51"/>
              <w:jc w:val="both"/>
              <w:rPr>
                <w:rFonts w:asciiTheme="majorHAnsi" w:hAnsiTheme="majorHAnsi" w:cstheme="majorHAnsi"/>
                <w:b/>
                <w:spacing w:val="-3"/>
                <w:sz w:val="16"/>
                <w:szCs w:val="16"/>
              </w:rPr>
            </w:pPr>
            <w:r w:rsidRPr="008A0E23">
              <w:rPr>
                <w:rFonts w:asciiTheme="majorHAnsi" w:hAnsiTheme="majorHAnsi" w:cstheme="majorHAnsi"/>
                <w:b/>
                <w:spacing w:val="-3"/>
                <w:sz w:val="16"/>
                <w:szCs w:val="16"/>
              </w:rPr>
              <w:t>Riesgo de Mercado:</w:t>
            </w:r>
          </w:p>
        </w:tc>
        <w:tc>
          <w:tcPr>
            <w:tcW w:w="6531" w:type="dxa"/>
            <w:tcBorders>
              <w:top w:val="nil"/>
              <w:left w:val="nil"/>
              <w:bottom w:val="single" w:sz="8" w:space="0" w:color="auto"/>
              <w:right w:val="single" w:sz="8" w:space="0" w:color="auto"/>
            </w:tcBorders>
            <w:shd w:val="clear" w:color="auto" w:fill="auto"/>
            <w:noWrap/>
            <w:hideMark/>
          </w:tcPr>
          <w:p w14:paraId="3FFED71E" w14:textId="187243C9" w:rsidR="008E5679" w:rsidRPr="008E5679" w:rsidRDefault="008E5679" w:rsidP="008E5679">
            <w:pPr>
              <w:tabs>
                <w:tab w:val="left" w:pos="0"/>
              </w:tabs>
              <w:spacing w:after="0" w:line="240" w:lineRule="auto"/>
              <w:ind w:right="51"/>
              <w:jc w:val="both"/>
              <w:rPr>
                <w:rFonts w:asciiTheme="majorHAnsi" w:hAnsiTheme="majorHAnsi" w:cstheme="majorHAnsi"/>
                <w:bCs/>
                <w:spacing w:val="-3"/>
                <w:sz w:val="16"/>
                <w:szCs w:val="16"/>
              </w:rPr>
            </w:pPr>
            <w:r w:rsidRPr="008E5679">
              <w:rPr>
                <w:rFonts w:asciiTheme="majorHAnsi" w:hAnsiTheme="majorHAnsi" w:cstheme="majorHAnsi"/>
                <w:bCs/>
                <w:spacing w:val="-3"/>
                <w:sz w:val="16"/>
                <w:szCs w:val="16"/>
              </w:rPr>
              <w:t>Es la posibilidad de incurrir en pérdidas e, incluso,</w:t>
            </w:r>
            <w:r>
              <w:rPr>
                <w:rFonts w:asciiTheme="majorHAnsi" w:hAnsiTheme="majorHAnsi" w:cstheme="majorHAnsi"/>
                <w:bCs/>
                <w:spacing w:val="-3"/>
                <w:sz w:val="16"/>
                <w:szCs w:val="16"/>
              </w:rPr>
              <w:t xml:space="preserve"> </w:t>
            </w:r>
            <w:r w:rsidRPr="008E5679">
              <w:rPr>
                <w:rFonts w:asciiTheme="majorHAnsi" w:hAnsiTheme="majorHAnsi" w:cstheme="majorHAnsi"/>
                <w:bCs/>
                <w:spacing w:val="-3"/>
                <w:sz w:val="16"/>
                <w:szCs w:val="16"/>
              </w:rPr>
              <w:t>en la disminución del valor económico de</w:t>
            </w:r>
            <w:r>
              <w:rPr>
                <w:rFonts w:asciiTheme="majorHAnsi" w:hAnsiTheme="majorHAnsi" w:cstheme="majorHAnsi"/>
                <w:bCs/>
                <w:spacing w:val="-3"/>
                <w:sz w:val="16"/>
                <w:szCs w:val="16"/>
              </w:rPr>
              <w:t xml:space="preserve"> </w:t>
            </w:r>
            <w:r w:rsidRPr="008E5679">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Pr>
                <w:rFonts w:asciiTheme="majorHAnsi" w:hAnsiTheme="majorHAnsi" w:cstheme="majorHAnsi"/>
                <w:bCs/>
                <w:spacing w:val="-3"/>
                <w:sz w:val="16"/>
                <w:szCs w:val="16"/>
              </w:rPr>
              <w:t xml:space="preserve"> </w:t>
            </w:r>
            <w:r w:rsidRPr="008E5679">
              <w:rPr>
                <w:rFonts w:asciiTheme="majorHAnsi" w:hAnsiTheme="majorHAnsi" w:cstheme="majorHAnsi"/>
                <w:bCs/>
                <w:spacing w:val="-3"/>
                <w:sz w:val="16"/>
                <w:szCs w:val="16"/>
              </w:rPr>
              <w:t xml:space="preserve">como consecuencia de cambios en el precio de los instrumentos financieros en los que se mantienen posiciones, lo cual puede llegar a afectar la percepción del mercado sobre la estabilidad y la viabilidad financiera del fondo. Los factores de riesgo de mercado a los que está expuesto </w:t>
            </w:r>
            <w:r w:rsidRPr="00164AD4">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sidR="00164AD4">
              <w:rPr>
                <w:rFonts w:asciiTheme="majorHAnsi" w:hAnsiTheme="majorHAnsi" w:cstheme="majorHAnsi"/>
                <w:bCs/>
                <w:spacing w:val="-3"/>
                <w:sz w:val="16"/>
                <w:szCs w:val="16"/>
              </w:rPr>
              <w:t xml:space="preserve"> </w:t>
            </w:r>
            <w:r w:rsidRPr="008E5679">
              <w:rPr>
                <w:rFonts w:asciiTheme="majorHAnsi" w:hAnsiTheme="majorHAnsi" w:cstheme="majorHAnsi"/>
                <w:bCs/>
                <w:spacing w:val="-3"/>
                <w:sz w:val="16"/>
                <w:szCs w:val="16"/>
              </w:rPr>
              <w:t>de acuerdo con las posiciones que podría tomar son: tasa de interés (moneda legal, UVR). Para mitigar dicho riesgo se cuenta con un Sistema de Administración de Riesgo de Mercado (SARM) que comprende: (a) Políticas de administración de riesgos de mercado, indicando niveles de tolerancia así como las instancias encargadas de las estrategias de cubrimiento de dichos riesgos, (b) Procedimientos de gestión de riesgos de mercado, que consideran los riesgos de mercado a los cuales se encuentran expuestos los portafolios, así como las responsabilidades de los órganos de dirección y administración sobre los mismos, (c) Metodología para la medición, entre los que se cuenta el modelo estándar (establecido por el capítulo XXI de la Circular Básica Contable y Financiera, Circular Externa 100 de 1995, Superintendencia Financiera de Colombia) y otros modelos de uso interno (Duración Modificada, Delta Normal, Simulación Histórica y Montecarlo Estructurado) y (d) Controles al SARM, efectuados por el área de Auditor</w:t>
            </w:r>
            <w:r w:rsidR="00164AD4">
              <w:rPr>
                <w:rFonts w:asciiTheme="majorHAnsi" w:hAnsiTheme="majorHAnsi" w:cstheme="majorHAnsi"/>
                <w:bCs/>
                <w:spacing w:val="-3"/>
                <w:sz w:val="16"/>
                <w:szCs w:val="16"/>
              </w:rPr>
              <w:t>í</w:t>
            </w:r>
            <w:r w:rsidRPr="008E5679">
              <w:rPr>
                <w:rFonts w:asciiTheme="majorHAnsi" w:hAnsiTheme="majorHAnsi" w:cstheme="majorHAnsi"/>
                <w:bCs/>
                <w:spacing w:val="-3"/>
                <w:sz w:val="16"/>
                <w:szCs w:val="16"/>
              </w:rPr>
              <w:t>a Interna y la Revisoría Fiscal.</w:t>
            </w:r>
          </w:p>
          <w:p w14:paraId="4A0E0419" w14:textId="42ABCF84" w:rsidR="006F1328" w:rsidRPr="008A0E23" w:rsidRDefault="008E5679" w:rsidP="008E5679">
            <w:pPr>
              <w:tabs>
                <w:tab w:val="left" w:pos="0"/>
              </w:tabs>
              <w:spacing w:after="0" w:line="240" w:lineRule="auto"/>
              <w:ind w:right="51"/>
              <w:jc w:val="both"/>
              <w:rPr>
                <w:rFonts w:asciiTheme="majorHAnsi" w:hAnsiTheme="majorHAnsi" w:cstheme="majorHAnsi"/>
                <w:bCs/>
                <w:spacing w:val="-3"/>
                <w:sz w:val="16"/>
                <w:szCs w:val="16"/>
              </w:rPr>
            </w:pPr>
            <w:r w:rsidRPr="008E5679">
              <w:rPr>
                <w:rFonts w:asciiTheme="majorHAnsi" w:hAnsiTheme="majorHAnsi" w:cstheme="majorHAnsi"/>
                <w:bCs/>
                <w:spacing w:val="-3"/>
                <w:sz w:val="16"/>
                <w:szCs w:val="16"/>
              </w:rPr>
              <w:t xml:space="preserve">La Fiduciaria </w:t>
            </w:r>
            <w:r>
              <w:rPr>
                <w:rFonts w:asciiTheme="majorHAnsi" w:hAnsiTheme="majorHAnsi" w:cstheme="majorHAnsi"/>
                <w:bCs/>
                <w:spacing w:val="-3"/>
                <w:sz w:val="16"/>
                <w:szCs w:val="16"/>
              </w:rPr>
              <w:t xml:space="preserve">Corficolombiana </w:t>
            </w:r>
            <w:r w:rsidRPr="008E5679">
              <w:rPr>
                <w:rFonts w:asciiTheme="majorHAnsi" w:hAnsiTheme="majorHAnsi" w:cstheme="majorHAnsi"/>
                <w:bCs/>
                <w:spacing w:val="-3"/>
                <w:sz w:val="16"/>
                <w:szCs w:val="16"/>
              </w:rPr>
              <w:t>calculará la medición de riesgo de mercado estándar de acuerdo con lo establecido en el Capítulo XXI de la Circular Externa 100 de 1995 de la Superintendencia Financiera de Colombia.</w:t>
            </w:r>
          </w:p>
        </w:tc>
      </w:tr>
      <w:tr w:rsidR="006F1328" w:rsidRPr="008A0E23" w14:paraId="6979C9AB" w14:textId="77777777" w:rsidTr="008E5679">
        <w:trPr>
          <w:trHeight w:val="315"/>
        </w:trPr>
        <w:tc>
          <w:tcPr>
            <w:tcW w:w="2453" w:type="dxa"/>
            <w:tcBorders>
              <w:top w:val="single" w:sz="8" w:space="0" w:color="auto"/>
              <w:left w:val="single" w:sz="8" w:space="0" w:color="auto"/>
              <w:bottom w:val="single" w:sz="8" w:space="0" w:color="auto"/>
              <w:right w:val="single" w:sz="8" w:space="0" w:color="auto"/>
            </w:tcBorders>
            <w:shd w:val="clear" w:color="auto" w:fill="auto"/>
            <w:noWrap/>
          </w:tcPr>
          <w:p w14:paraId="61C22E06" w14:textId="69C960FA" w:rsidR="006F1328" w:rsidRPr="008A0E23" w:rsidRDefault="008E5679" w:rsidP="006F1328">
            <w:pPr>
              <w:tabs>
                <w:tab w:val="left" w:pos="0"/>
              </w:tabs>
              <w:spacing w:after="0" w:line="240" w:lineRule="auto"/>
              <w:ind w:right="51"/>
              <w:jc w:val="both"/>
              <w:rPr>
                <w:rFonts w:asciiTheme="majorHAnsi" w:hAnsiTheme="majorHAnsi" w:cstheme="majorHAnsi"/>
                <w:b/>
                <w:spacing w:val="-3"/>
                <w:sz w:val="16"/>
                <w:szCs w:val="16"/>
              </w:rPr>
            </w:pPr>
            <w:r w:rsidRPr="008E5679">
              <w:rPr>
                <w:rFonts w:asciiTheme="majorHAnsi" w:hAnsiTheme="majorHAnsi" w:cstheme="majorHAnsi"/>
                <w:b/>
                <w:spacing w:val="-3"/>
                <w:sz w:val="16"/>
                <w:szCs w:val="16"/>
              </w:rPr>
              <w:t>Riesgo de liquidez:</w:t>
            </w:r>
          </w:p>
        </w:tc>
        <w:tc>
          <w:tcPr>
            <w:tcW w:w="6531" w:type="dxa"/>
            <w:tcBorders>
              <w:top w:val="single" w:sz="8" w:space="0" w:color="auto"/>
              <w:left w:val="single" w:sz="8" w:space="0" w:color="auto"/>
              <w:bottom w:val="single" w:sz="8" w:space="0" w:color="auto"/>
              <w:right w:val="single" w:sz="8" w:space="0" w:color="auto"/>
            </w:tcBorders>
            <w:shd w:val="clear" w:color="auto" w:fill="auto"/>
            <w:noWrap/>
          </w:tcPr>
          <w:p w14:paraId="2301D51F" w14:textId="588148E0" w:rsidR="008E5679" w:rsidRPr="008E5679" w:rsidRDefault="008E5679" w:rsidP="008E5679">
            <w:pPr>
              <w:tabs>
                <w:tab w:val="left" w:pos="0"/>
              </w:tabs>
              <w:spacing w:after="0" w:line="240" w:lineRule="auto"/>
              <w:ind w:right="51"/>
              <w:jc w:val="both"/>
              <w:rPr>
                <w:rFonts w:asciiTheme="majorHAnsi" w:hAnsiTheme="majorHAnsi" w:cstheme="majorHAnsi"/>
                <w:bCs/>
                <w:spacing w:val="-3"/>
                <w:sz w:val="16"/>
                <w:szCs w:val="16"/>
              </w:rPr>
            </w:pPr>
            <w:r w:rsidRPr="008E5679">
              <w:rPr>
                <w:rFonts w:asciiTheme="majorHAnsi" w:hAnsiTheme="majorHAnsi" w:cstheme="majorHAnsi"/>
                <w:bCs/>
                <w:spacing w:val="-3"/>
                <w:sz w:val="16"/>
                <w:szCs w:val="16"/>
              </w:rPr>
              <w:t xml:space="preserve">Es la contingencia de que </w:t>
            </w:r>
            <w:r w:rsidRPr="008E5679">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Pr>
                <w:rFonts w:asciiTheme="majorHAnsi" w:hAnsiTheme="majorHAnsi" w:cstheme="majorHAnsi"/>
                <w:bCs/>
                <w:spacing w:val="-3"/>
                <w:sz w:val="16"/>
                <w:szCs w:val="16"/>
              </w:rPr>
              <w:t xml:space="preserve"> </w:t>
            </w:r>
            <w:r w:rsidRPr="008E5679">
              <w:rPr>
                <w:rFonts w:asciiTheme="majorHAnsi" w:hAnsiTheme="majorHAnsi" w:cstheme="majorHAnsi"/>
                <w:bCs/>
                <w:spacing w:val="-3"/>
                <w:sz w:val="16"/>
                <w:szCs w:val="16"/>
              </w:rPr>
              <w:t xml:space="preserve">incurra en pérdidas por la venta de títulos valores a descuentos inusuales y significativos, con el fin de disponer rápidamente de los recursos necesarios para cumplir con sus obligaciones contractuales. De acuerdo con lo establecido en Capítulo VI de la Circular Básica Contable 100 de 1995 de la Superintendencia Financiera de Colombia “Reglas Relativas al Sistema de Administración de Riesgo de Liquidez”, el administrador cuenta con un modelo interno de medición del riesgo de liquidez de los portafolios, basado en la metodología IRL. Adicionalmente, con el fin de dar </w:t>
            </w:r>
            <w:r>
              <w:rPr>
                <w:rFonts w:asciiTheme="majorHAnsi" w:hAnsiTheme="majorHAnsi" w:cstheme="majorHAnsi"/>
                <w:bCs/>
                <w:spacing w:val="-3"/>
                <w:sz w:val="16"/>
                <w:szCs w:val="16"/>
              </w:rPr>
              <w:t>c</w:t>
            </w:r>
            <w:r w:rsidRPr="008E5679">
              <w:rPr>
                <w:rFonts w:asciiTheme="majorHAnsi" w:hAnsiTheme="majorHAnsi" w:cstheme="majorHAnsi"/>
                <w:bCs/>
                <w:spacing w:val="-3"/>
                <w:sz w:val="16"/>
                <w:szCs w:val="16"/>
              </w:rPr>
              <w:t xml:space="preserve">umplimiento a lo establecido en el Numeral 5.2.2 del Capítulo VI de la Circular 100 de 1995, la Sociedad </w:t>
            </w:r>
          </w:p>
          <w:p w14:paraId="716C7963" w14:textId="69A30D7A" w:rsidR="00B312BB" w:rsidRPr="008A0E23" w:rsidRDefault="008E5679" w:rsidP="008E5679">
            <w:pPr>
              <w:tabs>
                <w:tab w:val="left" w:pos="0"/>
              </w:tabs>
              <w:spacing w:after="0" w:line="240" w:lineRule="auto"/>
              <w:ind w:right="51"/>
              <w:jc w:val="both"/>
              <w:rPr>
                <w:rFonts w:asciiTheme="majorHAnsi" w:hAnsiTheme="majorHAnsi" w:cstheme="majorHAnsi"/>
                <w:bCs/>
                <w:spacing w:val="-3"/>
                <w:sz w:val="16"/>
                <w:szCs w:val="16"/>
              </w:rPr>
            </w:pPr>
            <w:r w:rsidRPr="008E5679">
              <w:rPr>
                <w:rFonts w:asciiTheme="majorHAnsi" w:hAnsiTheme="majorHAnsi" w:cstheme="majorHAnsi"/>
                <w:bCs/>
                <w:spacing w:val="-3"/>
                <w:sz w:val="16"/>
                <w:szCs w:val="16"/>
              </w:rPr>
              <w:t>Fiduciaria tiene establecidos los procedimientos para la medición del riesgo de liquidez durante los 6 primeros meses de operación de los Fondos de Inversión Colectiva que administra. Dentro del proceso de medición y mitigación del riesgo de liquidez debe ser tenido en cuenta el riesgo de concentración por inversionista, que es la posibilidad de que se presenten requerimientos elevados de liquidez, por</w:t>
            </w:r>
            <w:r>
              <w:rPr>
                <w:rFonts w:asciiTheme="majorHAnsi" w:hAnsiTheme="majorHAnsi" w:cstheme="majorHAnsi"/>
                <w:bCs/>
                <w:spacing w:val="-3"/>
                <w:sz w:val="16"/>
                <w:szCs w:val="16"/>
              </w:rPr>
              <w:t xml:space="preserve"> </w:t>
            </w:r>
            <w:r w:rsidRPr="008E5679">
              <w:rPr>
                <w:rFonts w:asciiTheme="majorHAnsi" w:hAnsiTheme="majorHAnsi" w:cstheme="majorHAnsi"/>
                <w:bCs/>
                <w:spacing w:val="-3"/>
                <w:sz w:val="16"/>
                <w:szCs w:val="16"/>
              </w:rPr>
              <w:t>el eventual retiro de inversionistas cuyas participaciones representan un porcentaje considerable del valor del Fondo de Inversión. La medición y mitigación de este riesgo están implícitas en la medición y control del indicador IRL de</w:t>
            </w:r>
            <w:r>
              <w:rPr>
                <w:rFonts w:asciiTheme="majorHAnsi" w:hAnsiTheme="majorHAnsi" w:cstheme="majorHAnsi"/>
                <w:bCs/>
                <w:spacing w:val="-3"/>
                <w:sz w:val="16"/>
                <w:szCs w:val="16"/>
              </w:rPr>
              <w:t xml:space="preserve"> </w:t>
            </w:r>
            <w:r w:rsidRPr="008E5679">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sidRPr="008E5679">
              <w:rPr>
                <w:rFonts w:asciiTheme="majorHAnsi" w:hAnsiTheme="majorHAnsi" w:cstheme="majorHAnsi"/>
                <w:bCs/>
                <w:spacing w:val="-3"/>
                <w:sz w:val="16"/>
                <w:szCs w:val="16"/>
              </w:rPr>
              <w:t>, ya que uno de los factores que se miden en dicho modelo, es el máximo retiro probable por parte de los inversionistas del Fondo de Inversión.</w:t>
            </w:r>
          </w:p>
        </w:tc>
      </w:tr>
      <w:tr w:rsidR="00164AD4" w:rsidRPr="008A0E23" w14:paraId="083CED4B" w14:textId="77777777" w:rsidTr="008E5679">
        <w:trPr>
          <w:trHeight w:val="315"/>
        </w:trPr>
        <w:tc>
          <w:tcPr>
            <w:tcW w:w="2453" w:type="dxa"/>
            <w:tcBorders>
              <w:top w:val="single" w:sz="8" w:space="0" w:color="auto"/>
              <w:left w:val="single" w:sz="8" w:space="0" w:color="auto"/>
              <w:bottom w:val="single" w:sz="8" w:space="0" w:color="auto"/>
              <w:right w:val="single" w:sz="8" w:space="0" w:color="auto"/>
            </w:tcBorders>
            <w:shd w:val="clear" w:color="auto" w:fill="auto"/>
            <w:noWrap/>
          </w:tcPr>
          <w:p w14:paraId="19D018DA" w14:textId="7BF9B952" w:rsidR="00164AD4" w:rsidRPr="008E5679" w:rsidRDefault="00164AD4" w:rsidP="006F1328">
            <w:pPr>
              <w:tabs>
                <w:tab w:val="left" w:pos="0"/>
              </w:tabs>
              <w:spacing w:after="0" w:line="240" w:lineRule="auto"/>
              <w:ind w:right="51"/>
              <w:jc w:val="both"/>
              <w:rPr>
                <w:rFonts w:asciiTheme="majorHAnsi" w:hAnsiTheme="majorHAnsi" w:cstheme="majorHAnsi"/>
                <w:b/>
                <w:spacing w:val="-3"/>
                <w:sz w:val="16"/>
                <w:szCs w:val="16"/>
              </w:rPr>
            </w:pPr>
            <w:r w:rsidRPr="00164AD4">
              <w:rPr>
                <w:rFonts w:asciiTheme="majorHAnsi" w:hAnsiTheme="majorHAnsi" w:cstheme="majorHAnsi"/>
                <w:b/>
                <w:spacing w:val="-3"/>
                <w:sz w:val="16"/>
                <w:szCs w:val="16"/>
              </w:rPr>
              <w:t>Riesgo de Lavado de Activos y Financiación del Terrorismo</w:t>
            </w:r>
            <w:r>
              <w:rPr>
                <w:rFonts w:asciiTheme="majorHAnsi" w:hAnsiTheme="majorHAnsi" w:cstheme="majorHAnsi"/>
                <w:b/>
                <w:spacing w:val="-3"/>
                <w:sz w:val="16"/>
                <w:szCs w:val="16"/>
              </w:rPr>
              <w:t>:</w:t>
            </w:r>
          </w:p>
        </w:tc>
        <w:tc>
          <w:tcPr>
            <w:tcW w:w="6531" w:type="dxa"/>
            <w:tcBorders>
              <w:top w:val="single" w:sz="8" w:space="0" w:color="auto"/>
              <w:left w:val="single" w:sz="8" w:space="0" w:color="auto"/>
              <w:bottom w:val="single" w:sz="8" w:space="0" w:color="auto"/>
              <w:right w:val="single" w:sz="8" w:space="0" w:color="auto"/>
            </w:tcBorders>
            <w:shd w:val="clear" w:color="auto" w:fill="auto"/>
            <w:noWrap/>
          </w:tcPr>
          <w:p w14:paraId="5D3FB067" w14:textId="77777777" w:rsidR="00164AD4" w:rsidRDefault="00164AD4" w:rsidP="00164AD4">
            <w:pPr>
              <w:tabs>
                <w:tab w:val="left" w:pos="0"/>
              </w:tabs>
              <w:spacing w:after="0" w:line="240" w:lineRule="auto"/>
              <w:ind w:right="51"/>
              <w:jc w:val="both"/>
              <w:rPr>
                <w:rFonts w:asciiTheme="majorHAnsi" w:hAnsiTheme="majorHAnsi" w:cstheme="majorHAnsi"/>
                <w:bCs/>
                <w:spacing w:val="-3"/>
                <w:sz w:val="16"/>
                <w:szCs w:val="16"/>
              </w:rPr>
            </w:pPr>
            <w:r w:rsidRPr="00164AD4">
              <w:rPr>
                <w:rFonts w:asciiTheme="majorHAnsi" w:hAnsiTheme="majorHAnsi" w:cstheme="majorHAnsi"/>
                <w:bCs/>
                <w:spacing w:val="-3"/>
                <w:sz w:val="16"/>
                <w:szCs w:val="16"/>
              </w:rPr>
              <w:t xml:space="preserve">Se define el riesgo de lavado de activos y de la financiación del terrorismo, como la posibilidad de pérdida o daño que puede sufrir una entidad por su propensión a ser utilizada directamente o a través de sus </w:t>
            </w:r>
            <w:r>
              <w:rPr>
                <w:rFonts w:asciiTheme="majorHAnsi" w:hAnsiTheme="majorHAnsi" w:cstheme="majorHAnsi"/>
                <w:bCs/>
                <w:spacing w:val="-3"/>
                <w:sz w:val="16"/>
                <w:szCs w:val="16"/>
              </w:rPr>
              <w:t>o</w:t>
            </w:r>
            <w:r w:rsidRPr="00164AD4">
              <w:rPr>
                <w:rFonts w:asciiTheme="majorHAnsi" w:hAnsiTheme="majorHAnsi" w:cstheme="majorHAnsi"/>
                <w:bCs/>
                <w:spacing w:val="-3"/>
                <w:sz w:val="16"/>
                <w:szCs w:val="16"/>
              </w:rPr>
              <w:t xml:space="preserve">peraciones como instrumento para el lavado de activos y la financiación del terrorismo y/o canalización de recursos hacia la realización de actividades terroristas, o cuando se pretenda el ocultamiento de activos provenientes de dichas actividades. El riesgo de LA/FT se materializa a través de los riesgos asociados. Estos son: el legal, reputacional, operativo y de contagio, a los que se expone la entidad, con el consecuente efecto económico negativo que ello puede representar para su estabilidad financiera </w:t>
            </w:r>
            <w:r w:rsidRPr="00164AD4">
              <w:rPr>
                <w:rFonts w:asciiTheme="majorHAnsi" w:hAnsiTheme="majorHAnsi" w:cstheme="majorHAnsi"/>
                <w:bCs/>
                <w:spacing w:val="-3"/>
                <w:sz w:val="16"/>
                <w:szCs w:val="16"/>
              </w:rPr>
              <w:lastRenderedPageBreak/>
              <w:t>cuando es utilizada para tales actividades.</w:t>
            </w:r>
            <w:r>
              <w:rPr>
                <w:rFonts w:asciiTheme="majorHAnsi" w:hAnsiTheme="majorHAnsi" w:cstheme="majorHAnsi"/>
                <w:bCs/>
                <w:spacing w:val="-3"/>
                <w:sz w:val="16"/>
                <w:szCs w:val="16"/>
              </w:rPr>
              <w:t xml:space="preserve"> </w:t>
            </w:r>
            <w:r w:rsidRPr="00164AD4">
              <w:rPr>
                <w:rFonts w:asciiTheme="majorHAnsi" w:hAnsiTheme="majorHAnsi" w:cstheme="majorHAnsi"/>
                <w:bCs/>
                <w:spacing w:val="-3"/>
                <w:sz w:val="16"/>
                <w:szCs w:val="16"/>
              </w:rPr>
              <w:t xml:space="preserve">La Fiduciaria </w:t>
            </w:r>
            <w:r>
              <w:rPr>
                <w:rFonts w:asciiTheme="majorHAnsi" w:hAnsiTheme="majorHAnsi" w:cstheme="majorHAnsi"/>
                <w:bCs/>
                <w:spacing w:val="-3"/>
                <w:sz w:val="16"/>
                <w:szCs w:val="16"/>
              </w:rPr>
              <w:t xml:space="preserve">Corficolombiana y </w:t>
            </w:r>
            <w:r w:rsidRPr="00164AD4">
              <w:rPr>
                <w:rFonts w:asciiTheme="majorHAnsi" w:hAnsiTheme="majorHAnsi" w:cstheme="majorHAnsi"/>
                <w:bCs/>
                <w:spacing w:val="-3"/>
                <w:sz w:val="16"/>
                <w:szCs w:val="16"/>
              </w:rPr>
              <w:t>ha adoptado un Sistema de Administración de Riesgo de Lavado de Activos y de la Financiación del Terrorismo contemplado en el Manual SARLAFT, el cual incluye, entre otros, políticas, procedimientos, estructura organizacional, infraestructura tecnológica, capacitación, órganos de control y metodología para la identificación, medición, control y monitoreo de los riesgos de LA/FT, utilizando matrices de riesgos que permiten registrar y documentar de manera integral las etapas del SARLAFT, teniendo como referencia el Capítulo IV, Título IV, Parte I, de la Circular Básica Jurídica de la Superintendencia Financiera de Colombia y el Método Australiano de Administración de Riesgos (norma AS/NZS 4360:1999).</w:t>
            </w:r>
          </w:p>
          <w:p w14:paraId="5F562E59" w14:textId="2D2C5E6C" w:rsidR="00164AD4" w:rsidRPr="008E5679" w:rsidRDefault="00164AD4" w:rsidP="00164AD4">
            <w:pPr>
              <w:tabs>
                <w:tab w:val="left" w:pos="0"/>
              </w:tabs>
              <w:spacing w:after="0" w:line="240" w:lineRule="auto"/>
              <w:ind w:right="51"/>
              <w:jc w:val="both"/>
              <w:rPr>
                <w:rFonts w:asciiTheme="majorHAnsi" w:hAnsiTheme="majorHAnsi" w:cstheme="majorHAnsi"/>
                <w:bCs/>
                <w:spacing w:val="-3"/>
                <w:sz w:val="16"/>
                <w:szCs w:val="16"/>
              </w:rPr>
            </w:pPr>
            <w:r>
              <w:rPr>
                <w:rFonts w:asciiTheme="majorHAnsi" w:hAnsiTheme="majorHAnsi" w:cstheme="majorHAnsi"/>
                <w:bCs/>
                <w:spacing w:val="-3"/>
                <w:sz w:val="16"/>
                <w:szCs w:val="16"/>
              </w:rPr>
              <w:t xml:space="preserve">Casa de Bolsa como distribuidor especializado de </w:t>
            </w:r>
            <w:r w:rsidRPr="00621DBB">
              <w:rPr>
                <w:rFonts w:asciiTheme="majorHAnsi" w:hAnsiTheme="majorHAnsi" w:cstheme="majorHAnsi"/>
                <w:bCs/>
                <w:spacing w:val="-3"/>
                <w:sz w:val="16"/>
                <w:szCs w:val="16"/>
                <w:u w:val="single"/>
              </w:rPr>
              <w:t>El Fondo 1525</w:t>
            </w:r>
            <w:r w:rsidR="00621DBB" w:rsidRPr="00621DBB">
              <w:rPr>
                <w:rFonts w:asciiTheme="majorHAnsi" w:hAnsiTheme="majorHAnsi" w:cstheme="majorHAnsi"/>
                <w:bCs/>
                <w:spacing w:val="-3"/>
                <w:sz w:val="16"/>
                <w:szCs w:val="16"/>
                <w:u w:val="single"/>
              </w:rPr>
              <w:t xml:space="preserve"> Plus</w:t>
            </w:r>
            <w:r>
              <w:rPr>
                <w:rFonts w:asciiTheme="majorHAnsi" w:hAnsiTheme="majorHAnsi" w:cstheme="majorHAnsi"/>
                <w:bCs/>
                <w:spacing w:val="-3"/>
                <w:sz w:val="16"/>
                <w:szCs w:val="16"/>
              </w:rPr>
              <w:t xml:space="preserve">, cuenta con </w:t>
            </w:r>
            <w:r w:rsidRPr="00164AD4">
              <w:rPr>
                <w:rFonts w:asciiTheme="majorHAnsi" w:hAnsiTheme="majorHAnsi" w:cstheme="majorHAnsi"/>
                <w:bCs/>
                <w:spacing w:val="-3"/>
                <w:sz w:val="16"/>
                <w:szCs w:val="16"/>
              </w:rPr>
              <w:t>un Sistema de Administración de Riesgo de Lavado de Activos y de la Financiación del Terrorismo contemplado en el Manual SARLAFT, el cual incluye, entre otros, políticas, procedimientos, estructura organizacional, infraestructura tecnológica, capacitación, órganos de control y metodología para la identificación, medición, control y monitoreo de los riesgos de LA/FT, utilizando matrices de riesgos que permiten registrar y documentar de manera integral las etapas del SARLAFT, teniendo como referencia el Capítulo IV, Título IV, Parte I, de la Circular Básica Jurídica de la Superintendencia Financiera de Colombia</w:t>
            </w:r>
            <w:r>
              <w:rPr>
                <w:rFonts w:asciiTheme="majorHAnsi" w:hAnsiTheme="majorHAnsi" w:cstheme="majorHAnsi"/>
                <w:bCs/>
                <w:spacing w:val="-3"/>
                <w:sz w:val="16"/>
                <w:szCs w:val="16"/>
              </w:rPr>
              <w:t>.</w:t>
            </w:r>
          </w:p>
        </w:tc>
      </w:tr>
      <w:tr w:rsidR="00164AD4" w:rsidRPr="008A0E23" w14:paraId="04A037D7" w14:textId="77777777" w:rsidTr="008E5679">
        <w:trPr>
          <w:trHeight w:val="315"/>
        </w:trPr>
        <w:tc>
          <w:tcPr>
            <w:tcW w:w="2453" w:type="dxa"/>
            <w:tcBorders>
              <w:top w:val="single" w:sz="8" w:space="0" w:color="auto"/>
              <w:left w:val="single" w:sz="8" w:space="0" w:color="auto"/>
              <w:bottom w:val="single" w:sz="8" w:space="0" w:color="auto"/>
              <w:right w:val="single" w:sz="8" w:space="0" w:color="auto"/>
            </w:tcBorders>
            <w:shd w:val="clear" w:color="auto" w:fill="auto"/>
            <w:noWrap/>
          </w:tcPr>
          <w:p w14:paraId="1B30026B" w14:textId="429E6F88" w:rsidR="00164AD4" w:rsidRPr="00164AD4" w:rsidRDefault="00164AD4" w:rsidP="006F1328">
            <w:pPr>
              <w:tabs>
                <w:tab w:val="left" w:pos="0"/>
              </w:tabs>
              <w:spacing w:after="0" w:line="240" w:lineRule="auto"/>
              <w:ind w:right="51"/>
              <w:jc w:val="both"/>
              <w:rPr>
                <w:rFonts w:asciiTheme="majorHAnsi" w:hAnsiTheme="majorHAnsi" w:cstheme="majorHAnsi"/>
                <w:b/>
                <w:spacing w:val="-3"/>
                <w:sz w:val="16"/>
                <w:szCs w:val="16"/>
              </w:rPr>
            </w:pPr>
            <w:r w:rsidRPr="00164AD4">
              <w:rPr>
                <w:rFonts w:asciiTheme="majorHAnsi" w:hAnsiTheme="majorHAnsi" w:cstheme="majorHAnsi"/>
                <w:b/>
                <w:spacing w:val="-3"/>
                <w:sz w:val="16"/>
                <w:szCs w:val="16"/>
              </w:rPr>
              <w:lastRenderedPageBreak/>
              <w:t>Riesgo Operativo:</w:t>
            </w:r>
          </w:p>
        </w:tc>
        <w:tc>
          <w:tcPr>
            <w:tcW w:w="6531" w:type="dxa"/>
            <w:tcBorders>
              <w:top w:val="single" w:sz="8" w:space="0" w:color="auto"/>
              <w:left w:val="single" w:sz="8" w:space="0" w:color="auto"/>
              <w:bottom w:val="single" w:sz="8" w:space="0" w:color="auto"/>
              <w:right w:val="single" w:sz="8" w:space="0" w:color="auto"/>
            </w:tcBorders>
            <w:shd w:val="clear" w:color="auto" w:fill="auto"/>
            <w:noWrap/>
          </w:tcPr>
          <w:p w14:paraId="1BD99119" w14:textId="74AA3A42" w:rsidR="00164AD4" w:rsidRPr="00164AD4" w:rsidRDefault="00164AD4" w:rsidP="00B068B3">
            <w:pPr>
              <w:tabs>
                <w:tab w:val="left" w:pos="0"/>
              </w:tabs>
              <w:spacing w:after="0" w:line="240" w:lineRule="auto"/>
              <w:ind w:right="51"/>
              <w:jc w:val="both"/>
              <w:rPr>
                <w:rFonts w:asciiTheme="majorHAnsi" w:hAnsiTheme="majorHAnsi" w:cstheme="majorHAnsi"/>
                <w:bCs/>
                <w:spacing w:val="-3"/>
                <w:sz w:val="16"/>
                <w:szCs w:val="16"/>
              </w:rPr>
            </w:pPr>
            <w:r w:rsidRPr="00164AD4">
              <w:rPr>
                <w:rFonts w:asciiTheme="majorHAnsi" w:hAnsiTheme="majorHAnsi" w:cstheme="majorHAnsi"/>
                <w:bCs/>
                <w:spacing w:val="-3"/>
                <w:sz w:val="16"/>
                <w:szCs w:val="16"/>
              </w:rPr>
              <w:t xml:space="preserve">Entendido como la posibilidad de pérdida debido a deficiencias, fallas o inadecuaciones en los recursos </w:t>
            </w:r>
            <w:r>
              <w:rPr>
                <w:rFonts w:asciiTheme="majorHAnsi" w:hAnsiTheme="majorHAnsi" w:cstheme="majorHAnsi"/>
                <w:bCs/>
                <w:spacing w:val="-3"/>
                <w:sz w:val="16"/>
                <w:szCs w:val="16"/>
              </w:rPr>
              <w:t>o</w:t>
            </w:r>
            <w:r w:rsidRPr="00164AD4">
              <w:rPr>
                <w:rFonts w:asciiTheme="majorHAnsi" w:hAnsiTheme="majorHAnsi" w:cstheme="majorHAnsi"/>
                <w:bCs/>
                <w:spacing w:val="-3"/>
                <w:sz w:val="16"/>
                <w:szCs w:val="16"/>
              </w:rPr>
              <w:t xml:space="preserve"> factores internos o</w:t>
            </w:r>
            <w:r>
              <w:rPr>
                <w:rFonts w:asciiTheme="majorHAnsi" w:hAnsiTheme="majorHAnsi" w:cstheme="majorHAnsi"/>
                <w:bCs/>
                <w:spacing w:val="-3"/>
                <w:sz w:val="16"/>
                <w:szCs w:val="16"/>
              </w:rPr>
              <w:t xml:space="preserve"> </w:t>
            </w:r>
            <w:r w:rsidRPr="00164AD4">
              <w:rPr>
                <w:rFonts w:asciiTheme="majorHAnsi" w:hAnsiTheme="majorHAnsi" w:cstheme="majorHAnsi"/>
                <w:bCs/>
                <w:spacing w:val="-3"/>
                <w:sz w:val="16"/>
                <w:szCs w:val="16"/>
              </w:rPr>
              <w:t>administrativos de la Sociedad Administradora, o a acontecimientos externos. El riesgo operativo es administrado por la Sociedad Administradora bajo un sistema integral, estructurado conforme a las reglas de la Superintendencia Financiera de Colombia, orientado a identificar, evaluar, controlar y monitorear los eventos de riesgo cuya ocurrencia pueden tener un impacto negativo sobre los resultados de</w:t>
            </w:r>
            <w:r>
              <w:rPr>
                <w:rFonts w:asciiTheme="majorHAnsi" w:hAnsiTheme="majorHAnsi" w:cstheme="majorHAnsi"/>
                <w:bCs/>
                <w:spacing w:val="-3"/>
                <w:sz w:val="16"/>
                <w:szCs w:val="16"/>
              </w:rPr>
              <w:t xml:space="preserve"> </w:t>
            </w:r>
            <w:r w:rsidRPr="00164AD4">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sidRPr="00164AD4">
              <w:rPr>
                <w:rFonts w:asciiTheme="majorHAnsi" w:hAnsiTheme="majorHAnsi" w:cstheme="majorHAnsi"/>
                <w:bCs/>
                <w:spacing w:val="-3"/>
                <w:sz w:val="16"/>
                <w:szCs w:val="16"/>
              </w:rPr>
              <w:t>. Se mitiga a través de actividades de control adoptadas por la Sociedad Administradora y el Administrador de Activos de</w:t>
            </w:r>
            <w:r w:rsidR="00B068B3">
              <w:rPr>
                <w:rFonts w:asciiTheme="majorHAnsi" w:hAnsiTheme="majorHAnsi" w:cstheme="majorHAnsi"/>
                <w:bCs/>
                <w:spacing w:val="-3"/>
                <w:sz w:val="16"/>
                <w:szCs w:val="16"/>
              </w:rPr>
              <w:t xml:space="preserve"> </w:t>
            </w:r>
            <w:r w:rsidR="00B068B3" w:rsidRPr="00B068B3">
              <w:rPr>
                <w:rFonts w:asciiTheme="majorHAnsi" w:hAnsiTheme="majorHAnsi" w:cstheme="majorHAnsi"/>
                <w:bCs/>
                <w:spacing w:val="-3"/>
                <w:sz w:val="16"/>
                <w:szCs w:val="16"/>
                <w:u w:val="single"/>
              </w:rPr>
              <w:t>E</w:t>
            </w:r>
            <w:r w:rsidRPr="00B068B3">
              <w:rPr>
                <w:rFonts w:asciiTheme="majorHAnsi" w:hAnsiTheme="majorHAnsi" w:cstheme="majorHAnsi"/>
                <w:bCs/>
                <w:spacing w:val="-3"/>
                <w:sz w:val="16"/>
                <w:szCs w:val="16"/>
                <w:u w:val="single"/>
              </w:rPr>
              <w:t xml:space="preserve">l Fondo </w:t>
            </w:r>
            <w:r w:rsidR="00B068B3" w:rsidRPr="00B068B3">
              <w:rPr>
                <w:rFonts w:asciiTheme="majorHAnsi" w:hAnsiTheme="majorHAnsi" w:cstheme="majorHAnsi"/>
                <w:bCs/>
                <w:spacing w:val="-3"/>
                <w:sz w:val="16"/>
                <w:szCs w:val="16"/>
                <w:u w:val="single"/>
              </w:rPr>
              <w:t>1525</w:t>
            </w:r>
            <w:r w:rsidR="00621DBB">
              <w:rPr>
                <w:rFonts w:asciiTheme="majorHAnsi" w:hAnsiTheme="majorHAnsi" w:cstheme="majorHAnsi"/>
                <w:bCs/>
                <w:spacing w:val="-3"/>
                <w:sz w:val="16"/>
                <w:szCs w:val="16"/>
                <w:u w:val="single"/>
              </w:rPr>
              <w:t xml:space="preserve"> Plus</w:t>
            </w:r>
            <w:r w:rsidR="00B068B3">
              <w:rPr>
                <w:rFonts w:asciiTheme="majorHAnsi" w:hAnsiTheme="majorHAnsi" w:cstheme="majorHAnsi"/>
                <w:bCs/>
                <w:spacing w:val="-3"/>
                <w:sz w:val="16"/>
                <w:szCs w:val="16"/>
              </w:rPr>
              <w:t xml:space="preserve"> </w:t>
            </w:r>
            <w:r w:rsidRPr="00164AD4">
              <w:rPr>
                <w:rFonts w:asciiTheme="majorHAnsi" w:hAnsiTheme="majorHAnsi" w:cstheme="majorHAnsi"/>
                <w:bCs/>
                <w:spacing w:val="-3"/>
                <w:sz w:val="16"/>
                <w:szCs w:val="16"/>
              </w:rPr>
              <w:t xml:space="preserve">encaminadas a reducir la probabilidad de ocurrencia y/o minimizar el impacto en caso de materialización. La Fiduciaria </w:t>
            </w:r>
            <w:r w:rsidR="00B068B3">
              <w:rPr>
                <w:rFonts w:asciiTheme="majorHAnsi" w:hAnsiTheme="majorHAnsi" w:cstheme="majorHAnsi"/>
                <w:bCs/>
                <w:spacing w:val="-3"/>
                <w:sz w:val="16"/>
                <w:szCs w:val="16"/>
              </w:rPr>
              <w:t xml:space="preserve">Corficolombiana </w:t>
            </w:r>
            <w:r w:rsidRPr="00164AD4">
              <w:rPr>
                <w:rFonts w:asciiTheme="majorHAnsi" w:hAnsiTheme="majorHAnsi" w:cstheme="majorHAnsi"/>
                <w:bCs/>
                <w:spacing w:val="-3"/>
                <w:sz w:val="16"/>
                <w:szCs w:val="16"/>
              </w:rPr>
              <w:t>decide cual es la mejor forma de tratar el riesgo conforme a la complejidad y operatividad de</w:t>
            </w:r>
            <w:r w:rsidR="00B068B3">
              <w:rPr>
                <w:rFonts w:asciiTheme="majorHAnsi" w:hAnsiTheme="majorHAnsi" w:cstheme="majorHAnsi"/>
                <w:bCs/>
                <w:spacing w:val="-3"/>
                <w:sz w:val="16"/>
                <w:szCs w:val="16"/>
              </w:rPr>
              <w:t xml:space="preserve"> </w:t>
            </w:r>
            <w:r w:rsidR="00B068B3" w:rsidRPr="00B068B3">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sidRPr="00164AD4">
              <w:rPr>
                <w:rFonts w:asciiTheme="majorHAnsi" w:hAnsiTheme="majorHAnsi" w:cstheme="majorHAnsi"/>
                <w:bCs/>
                <w:spacing w:val="-3"/>
                <w:sz w:val="16"/>
                <w:szCs w:val="16"/>
              </w:rPr>
              <w:t xml:space="preserve"> las actividades de control incluyen segregación de funciones al interior del Front Office, </w:t>
            </w:r>
            <w:proofErr w:type="spellStart"/>
            <w:r w:rsidRPr="00164AD4">
              <w:rPr>
                <w:rFonts w:asciiTheme="majorHAnsi" w:hAnsiTheme="majorHAnsi" w:cstheme="majorHAnsi"/>
                <w:bCs/>
                <w:spacing w:val="-3"/>
                <w:sz w:val="16"/>
                <w:szCs w:val="16"/>
              </w:rPr>
              <w:t>Middle</w:t>
            </w:r>
            <w:proofErr w:type="spellEnd"/>
            <w:r w:rsidRPr="00164AD4">
              <w:rPr>
                <w:rFonts w:asciiTheme="majorHAnsi" w:hAnsiTheme="majorHAnsi" w:cstheme="majorHAnsi"/>
                <w:bCs/>
                <w:spacing w:val="-3"/>
                <w:sz w:val="16"/>
                <w:szCs w:val="16"/>
              </w:rPr>
              <w:t xml:space="preserve"> Office y Back Office, grabación de llamadas, protocolos de comunicaciones, pólizas de seguros, planes internos de contingencia, planes de continuidad del negocio que garantizan la disponibilidad del servicio frente al cliente.</w:t>
            </w:r>
            <w:r w:rsidR="00B068B3">
              <w:rPr>
                <w:rFonts w:asciiTheme="majorHAnsi" w:hAnsiTheme="majorHAnsi" w:cstheme="majorHAnsi"/>
                <w:bCs/>
                <w:spacing w:val="-3"/>
                <w:sz w:val="16"/>
                <w:szCs w:val="16"/>
              </w:rPr>
              <w:t xml:space="preserve"> </w:t>
            </w:r>
            <w:r w:rsidRPr="00164AD4">
              <w:rPr>
                <w:rFonts w:asciiTheme="majorHAnsi" w:hAnsiTheme="majorHAnsi" w:cstheme="majorHAnsi"/>
                <w:bCs/>
                <w:spacing w:val="-3"/>
                <w:sz w:val="16"/>
                <w:szCs w:val="16"/>
              </w:rPr>
              <w:t>Así mismo, el monitoreo continuo y centralizado del área de riego operacional y ejecutado a través del análisis a la base de datos de eventos de riesgo operacional permite implementar mejoras oportunas a los procedimientos facilitando la forma de mitigar los riesgos operativos eficientemente.</w:t>
            </w:r>
          </w:p>
        </w:tc>
      </w:tr>
      <w:tr w:rsidR="00B068B3" w:rsidRPr="008A0E23" w14:paraId="5AC062AE" w14:textId="77777777" w:rsidTr="008E5679">
        <w:trPr>
          <w:trHeight w:val="315"/>
        </w:trPr>
        <w:tc>
          <w:tcPr>
            <w:tcW w:w="2453" w:type="dxa"/>
            <w:tcBorders>
              <w:top w:val="single" w:sz="8" w:space="0" w:color="auto"/>
              <w:left w:val="single" w:sz="8" w:space="0" w:color="auto"/>
              <w:bottom w:val="single" w:sz="8" w:space="0" w:color="auto"/>
              <w:right w:val="single" w:sz="8" w:space="0" w:color="auto"/>
            </w:tcBorders>
            <w:shd w:val="clear" w:color="auto" w:fill="auto"/>
            <w:noWrap/>
          </w:tcPr>
          <w:p w14:paraId="36EEA11A" w14:textId="2BF49F4C" w:rsidR="00B068B3" w:rsidRPr="00164AD4" w:rsidRDefault="00B068B3" w:rsidP="006F1328">
            <w:pPr>
              <w:tabs>
                <w:tab w:val="left" w:pos="0"/>
              </w:tabs>
              <w:spacing w:after="0" w:line="240" w:lineRule="auto"/>
              <w:ind w:right="51"/>
              <w:jc w:val="both"/>
              <w:rPr>
                <w:rFonts w:asciiTheme="majorHAnsi" w:hAnsiTheme="majorHAnsi" w:cstheme="majorHAnsi"/>
                <w:b/>
                <w:spacing w:val="-3"/>
                <w:sz w:val="16"/>
                <w:szCs w:val="16"/>
              </w:rPr>
            </w:pPr>
            <w:r w:rsidRPr="00B068B3">
              <w:rPr>
                <w:rFonts w:asciiTheme="majorHAnsi" w:hAnsiTheme="majorHAnsi" w:cstheme="majorHAnsi"/>
                <w:b/>
                <w:spacing w:val="-3"/>
                <w:sz w:val="16"/>
                <w:szCs w:val="16"/>
              </w:rPr>
              <w:t>Riesgo jurídico:</w:t>
            </w:r>
          </w:p>
        </w:tc>
        <w:tc>
          <w:tcPr>
            <w:tcW w:w="6531" w:type="dxa"/>
            <w:tcBorders>
              <w:top w:val="single" w:sz="8" w:space="0" w:color="auto"/>
              <w:left w:val="single" w:sz="8" w:space="0" w:color="auto"/>
              <w:bottom w:val="single" w:sz="8" w:space="0" w:color="auto"/>
              <w:right w:val="single" w:sz="8" w:space="0" w:color="auto"/>
            </w:tcBorders>
            <w:shd w:val="clear" w:color="auto" w:fill="auto"/>
            <w:noWrap/>
          </w:tcPr>
          <w:p w14:paraId="7BA742F3" w14:textId="27217E7A" w:rsidR="00B068B3" w:rsidRPr="00164AD4" w:rsidRDefault="00B068B3" w:rsidP="00B068B3">
            <w:pPr>
              <w:tabs>
                <w:tab w:val="left" w:pos="0"/>
              </w:tabs>
              <w:spacing w:after="0" w:line="240" w:lineRule="auto"/>
              <w:ind w:right="51"/>
              <w:jc w:val="both"/>
              <w:rPr>
                <w:rFonts w:asciiTheme="majorHAnsi" w:hAnsiTheme="majorHAnsi" w:cstheme="majorHAnsi"/>
                <w:bCs/>
                <w:spacing w:val="-3"/>
                <w:sz w:val="16"/>
                <w:szCs w:val="16"/>
              </w:rPr>
            </w:pPr>
            <w:r w:rsidRPr="00B068B3">
              <w:rPr>
                <w:rFonts w:asciiTheme="majorHAnsi" w:hAnsiTheme="majorHAnsi" w:cstheme="majorHAnsi"/>
                <w:bCs/>
                <w:spacing w:val="-3"/>
                <w:sz w:val="16"/>
                <w:szCs w:val="16"/>
              </w:rPr>
              <w:t>Se entenderá como riesgo jurídico la contingencia de pérdida derivada de situaciones de orden legal que puedan afectar la titularidad de las inversiones o la efectiva recuperación de su valor. Para mitigar este riesgo, la Sociedad Administradora cuenta con procedimientos para la realización de operaciones, los cuales deben ser acatados por todos los funcionarios de la Sociedad Administradora.</w:t>
            </w:r>
          </w:p>
        </w:tc>
      </w:tr>
    </w:tbl>
    <w:p w14:paraId="7F9B9BD7" w14:textId="640E2326" w:rsidR="00AB5236" w:rsidRDefault="00AB5236" w:rsidP="00916E9B">
      <w:pPr>
        <w:tabs>
          <w:tab w:val="left" w:pos="0"/>
        </w:tabs>
        <w:spacing w:after="0" w:line="240" w:lineRule="auto"/>
        <w:ind w:right="51"/>
        <w:jc w:val="both"/>
        <w:rPr>
          <w:rFonts w:asciiTheme="majorHAnsi" w:hAnsiTheme="majorHAnsi" w:cstheme="majorHAnsi"/>
          <w:b/>
          <w:spacing w:val="-3"/>
          <w:sz w:val="16"/>
          <w:szCs w:val="16"/>
        </w:rPr>
      </w:pPr>
    </w:p>
    <w:p w14:paraId="0D6751A2" w14:textId="4FB36BBF" w:rsidR="00C767A8" w:rsidRDefault="00C767A8" w:rsidP="00916E9B">
      <w:pPr>
        <w:tabs>
          <w:tab w:val="left" w:pos="0"/>
        </w:tabs>
        <w:spacing w:after="0" w:line="240" w:lineRule="auto"/>
        <w:ind w:right="51"/>
        <w:jc w:val="both"/>
        <w:rPr>
          <w:rFonts w:asciiTheme="majorHAnsi" w:hAnsiTheme="majorHAnsi" w:cstheme="majorHAnsi"/>
          <w:b/>
          <w:spacing w:val="-3"/>
          <w:sz w:val="16"/>
          <w:szCs w:val="16"/>
        </w:rPr>
      </w:pPr>
    </w:p>
    <w:p w14:paraId="31396B8F" w14:textId="589FEFD6" w:rsidR="00C767A8" w:rsidRPr="00C767A8" w:rsidRDefault="00C767A8" w:rsidP="00C767A8">
      <w:pPr>
        <w:pStyle w:val="Prrafodelista"/>
        <w:numPr>
          <w:ilvl w:val="0"/>
          <w:numId w:val="4"/>
        </w:numPr>
        <w:tabs>
          <w:tab w:val="left" w:pos="0"/>
        </w:tabs>
        <w:spacing w:after="0" w:line="240" w:lineRule="auto"/>
        <w:ind w:right="51"/>
        <w:jc w:val="both"/>
        <w:rPr>
          <w:rFonts w:asciiTheme="majorHAnsi" w:hAnsiTheme="majorHAnsi" w:cstheme="majorHAnsi"/>
          <w:b/>
          <w:spacing w:val="-3"/>
          <w:sz w:val="16"/>
          <w:szCs w:val="16"/>
        </w:rPr>
      </w:pPr>
      <w:r>
        <w:rPr>
          <w:rFonts w:asciiTheme="majorHAnsi" w:hAnsiTheme="majorHAnsi" w:cstheme="majorHAnsi"/>
          <w:b/>
          <w:spacing w:val="-3"/>
          <w:sz w:val="16"/>
          <w:szCs w:val="16"/>
        </w:rPr>
        <w:t>Gobierno Corporativo de El Fondo 1525</w:t>
      </w:r>
      <w:r w:rsidR="00621DBB">
        <w:rPr>
          <w:rFonts w:asciiTheme="majorHAnsi" w:hAnsiTheme="majorHAnsi" w:cstheme="majorHAnsi"/>
          <w:b/>
          <w:spacing w:val="-3"/>
          <w:sz w:val="16"/>
          <w:szCs w:val="16"/>
        </w:rPr>
        <w:t xml:space="preserve"> Plus</w:t>
      </w:r>
      <w:r>
        <w:rPr>
          <w:rFonts w:asciiTheme="majorHAnsi" w:hAnsiTheme="majorHAnsi" w:cstheme="majorHAnsi"/>
          <w:b/>
          <w:spacing w:val="-3"/>
          <w:sz w:val="16"/>
          <w:szCs w:val="16"/>
        </w:rPr>
        <w:t xml:space="preserve"> y derechos y obligaciones de los inversionistas:</w:t>
      </w:r>
    </w:p>
    <w:p w14:paraId="24FDD041" w14:textId="418FDDD5" w:rsidR="00C767A8" w:rsidRDefault="00C767A8" w:rsidP="00916E9B">
      <w:pPr>
        <w:tabs>
          <w:tab w:val="left" w:pos="0"/>
        </w:tabs>
        <w:spacing w:after="0" w:line="240" w:lineRule="auto"/>
        <w:ind w:right="51"/>
        <w:jc w:val="both"/>
        <w:rPr>
          <w:rFonts w:asciiTheme="majorHAnsi" w:hAnsiTheme="majorHAnsi" w:cstheme="majorHAnsi"/>
          <w:b/>
          <w:spacing w:val="-3"/>
          <w:sz w:val="16"/>
          <w:szCs w:val="16"/>
        </w:rPr>
      </w:pPr>
    </w:p>
    <w:tbl>
      <w:tblPr>
        <w:tblStyle w:val="Tablaconc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3"/>
        <w:gridCol w:w="6415"/>
      </w:tblGrid>
      <w:tr w:rsidR="00FF5B27" w14:paraId="088823F9" w14:textId="77777777" w:rsidTr="00CE4BA5">
        <w:tc>
          <w:tcPr>
            <w:tcW w:w="2403" w:type="dxa"/>
          </w:tcPr>
          <w:p w14:paraId="6FE44830" w14:textId="3D76AB87" w:rsidR="00FF5B27" w:rsidRDefault="00FF5B27" w:rsidP="00916E9B">
            <w:pPr>
              <w:tabs>
                <w:tab w:val="left" w:pos="0"/>
              </w:tabs>
              <w:ind w:right="51"/>
              <w:jc w:val="both"/>
              <w:rPr>
                <w:rFonts w:asciiTheme="majorHAnsi" w:hAnsiTheme="majorHAnsi" w:cstheme="majorHAnsi"/>
                <w:b/>
                <w:spacing w:val="-3"/>
                <w:sz w:val="16"/>
                <w:szCs w:val="16"/>
              </w:rPr>
            </w:pPr>
            <w:r>
              <w:rPr>
                <w:rFonts w:asciiTheme="majorHAnsi" w:hAnsiTheme="majorHAnsi" w:cstheme="majorHAnsi"/>
                <w:b/>
                <w:spacing w:val="-3"/>
                <w:sz w:val="16"/>
                <w:szCs w:val="16"/>
              </w:rPr>
              <w:t>Gobierno Corporativo del Fondo</w:t>
            </w:r>
          </w:p>
        </w:tc>
        <w:tc>
          <w:tcPr>
            <w:tcW w:w="6415" w:type="dxa"/>
          </w:tcPr>
          <w:p w14:paraId="23B24184" w14:textId="448DCB6B" w:rsidR="00FF5B27" w:rsidRPr="003E5C3C" w:rsidRDefault="00FF5B27" w:rsidP="00916E9B">
            <w:pPr>
              <w:tabs>
                <w:tab w:val="left" w:pos="0"/>
              </w:tabs>
              <w:ind w:right="51"/>
              <w:jc w:val="both"/>
              <w:rPr>
                <w:rFonts w:asciiTheme="majorHAnsi" w:hAnsiTheme="majorHAnsi" w:cstheme="majorHAnsi"/>
                <w:bCs/>
                <w:spacing w:val="-3"/>
                <w:sz w:val="16"/>
                <w:szCs w:val="16"/>
              </w:rPr>
            </w:pPr>
            <w:r>
              <w:rPr>
                <w:rFonts w:asciiTheme="majorHAnsi" w:hAnsiTheme="majorHAnsi" w:cstheme="majorHAnsi"/>
                <w:bCs/>
                <w:spacing w:val="-3"/>
                <w:sz w:val="16"/>
                <w:szCs w:val="16"/>
              </w:rPr>
              <w:t xml:space="preserve">Para mayor información del Gobierno Corporativo de </w:t>
            </w:r>
            <w:r w:rsidRPr="00FF5B27">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sidRPr="00FF5B27">
              <w:rPr>
                <w:rFonts w:asciiTheme="majorHAnsi" w:hAnsiTheme="majorHAnsi" w:cstheme="majorHAnsi"/>
                <w:bCs/>
                <w:spacing w:val="-3"/>
                <w:sz w:val="16"/>
                <w:szCs w:val="16"/>
              </w:rPr>
              <w:t xml:space="preserve">, </w:t>
            </w:r>
            <w:r>
              <w:rPr>
                <w:rFonts w:asciiTheme="majorHAnsi" w:hAnsiTheme="majorHAnsi" w:cstheme="majorHAnsi"/>
                <w:bCs/>
                <w:spacing w:val="-3"/>
                <w:sz w:val="16"/>
                <w:szCs w:val="16"/>
              </w:rPr>
              <w:t xml:space="preserve">se encuentra debidamente explicado en el Capítulo III .- Órganos de Administración, Gestión y Control del Fondo de Inversión Colectiva, cuya lectura se recomienda, poniendo de presente que como </w:t>
            </w:r>
            <w:r w:rsidR="003E5C3C">
              <w:rPr>
                <w:rFonts w:asciiTheme="majorHAnsi" w:hAnsiTheme="majorHAnsi" w:cstheme="majorHAnsi"/>
                <w:bCs/>
                <w:spacing w:val="-3"/>
                <w:sz w:val="16"/>
                <w:szCs w:val="16"/>
              </w:rPr>
              <w:t xml:space="preserve">quien se constituye como inversionista ante </w:t>
            </w:r>
            <w:r w:rsidR="003E5C3C" w:rsidRPr="003E5C3C">
              <w:rPr>
                <w:rFonts w:asciiTheme="majorHAnsi" w:hAnsiTheme="majorHAnsi" w:cstheme="majorHAnsi"/>
                <w:bCs/>
                <w:spacing w:val="-3"/>
                <w:sz w:val="16"/>
                <w:szCs w:val="16"/>
                <w:u w:val="single"/>
              </w:rPr>
              <w:t>El Fondo 1525</w:t>
            </w:r>
            <w:r w:rsidR="00621DBB">
              <w:rPr>
                <w:rFonts w:asciiTheme="majorHAnsi" w:hAnsiTheme="majorHAnsi" w:cstheme="majorHAnsi"/>
                <w:bCs/>
                <w:spacing w:val="-3"/>
                <w:sz w:val="16"/>
                <w:szCs w:val="16"/>
                <w:u w:val="single"/>
              </w:rPr>
              <w:t xml:space="preserve"> Plus</w:t>
            </w:r>
            <w:r w:rsidR="003E5C3C">
              <w:rPr>
                <w:rFonts w:asciiTheme="majorHAnsi" w:hAnsiTheme="majorHAnsi" w:cstheme="majorHAnsi"/>
                <w:bCs/>
                <w:spacing w:val="-3"/>
                <w:sz w:val="16"/>
                <w:szCs w:val="16"/>
              </w:rPr>
              <w:t xml:space="preserve"> es la </w:t>
            </w:r>
            <w:r w:rsidR="003E5C3C" w:rsidRPr="003E5C3C">
              <w:rPr>
                <w:rFonts w:asciiTheme="majorHAnsi" w:hAnsiTheme="majorHAnsi" w:cstheme="majorHAnsi"/>
                <w:bCs/>
                <w:spacing w:val="-3"/>
                <w:sz w:val="16"/>
                <w:szCs w:val="16"/>
                <w:u w:val="single"/>
              </w:rPr>
              <w:t>Cuenta Ómnibus 1525</w:t>
            </w:r>
            <w:r w:rsidR="00621DBB">
              <w:rPr>
                <w:rFonts w:asciiTheme="majorHAnsi" w:hAnsiTheme="majorHAnsi" w:cstheme="majorHAnsi"/>
                <w:bCs/>
                <w:spacing w:val="-3"/>
                <w:sz w:val="16"/>
                <w:szCs w:val="16"/>
                <w:u w:val="single"/>
              </w:rPr>
              <w:t xml:space="preserve"> Plus</w:t>
            </w:r>
            <w:r w:rsidR="003E5C3C">
              <w:rPr>
                <w:rFonts w:asciiTheme="majorHAnsi" w:hAnsiTheme="majorHAnsi" w:cstheme="majorHAnsi"/>
                <w:bCs/>
                <w:spacing w:val="-3"/>
                <w:sz w:val="16"/>
                <w:szCs w:val="16"/>
              </w:rPr>
              <w:t xml:space="preserve">, Casa de Bolsa, como administradora de dicha cuenta, será la que ejercerá los derechos políticos de los inversionistas en ella agrupados, según el procedimiento indicado en la Cláusula Vigésima Séptima del </w:t>
            </w:r>
            <w:r w:rsidR="003E5C3C" w:rsidRPr="003E5C3C">
              <w:rPr>
                <w:rFonts w:asciiTheme="majorHAnsi" w:hAnsiTheme="majorHAnsi" w:cstheme="majorHAnsi"/>
                <w:bCs/>
                <w:spacing w:val="-3"/>
                <w:sz w:val="16"/>
                <w:szCs w:val="16"/>
              </w:rPr>
              <w:t>Reglamento Marco para el Desarrollo de la Actividad de Distribución Especializada a través de Cuentas Ómnibus.</w:t>
            </w:r>
          </w:p>
        </w:tc>
      </w:tr>
      <w:tr w:rsidR="00FF5B27" w14:paraId="1A7DE4FA" w14:textId="77777777" w:rsidTr="00CE4BA5">
        <w:tc>
          <w:tcPr>
            <w:tcW w:w="2403" w:type="dxa"/>
          </w:tcPr>
          <w:p w14:paraId="69D8B1B7" w14:textId="1DA09777" w:rsidR="00FF5B27" w:rsidRDefault="003E5C3C" w:rsidP="00916E9B">
            <w:pPr>
              <w:tabs>
                <w:tab w:val="left" w:pos="0"/>
              </w:tabs>
              <w:ind w:right="51"/>
              <w:jc w:val="both"/>
              <w:rPr>
                <w:rFonts w:asciiTheme="majorHAnsi" w:hAnsiTheme="majorHAnsi" w:cstheme="majorHAnsi"/>
                <w:b/>
                <w:spacing w:val="-3"/>
                <w:sz w:val="16"/>
                <w:szCs w:val="16"/>
              </w:rPr>
            </w:pPr>
            <w:r>
              <w:rPr>
                <w:rFonts w:asciiTheme="majorHAnsi" w:hAnsiTheme="majorHAnsi" w:cstheme="majorHAnsi"/>
                <w:b/>
                <w:spacing w:val="-3"/>
                <w:sz w:val="16"/>
                <w:szCs w:val="16"/>
              </w:rPr>
              <w:t>Derechos y Obligaciones de los Inversionistas de la Cuenta Ómnibus</w:t>
            </w:r>
          </w:p>
        </w:tc>
        <w:tc>
          <w:tcPr>
            <w:tcW w:w="6415" w:type="dxa"/>
          </w:tcPr>
          <w:p w14:paraId="3926A467" w14:textId="1FD638F0" w:rsidR="00FF5B27" w:rsidRPr="003E5C3C" w:rsidRDefault="003E5C3C" w:rsidP="00916E9B">
            <w:pPr>
              <w:tabs>
                <w:tab w:val="left" w:pos="0"/>
              </w:tabs>
              <w:ind w:right="51"/>
              <w:jc w:val="both"/>
              <w:rPr>
                <w:rFonts w:asciiTheme="majorHAnsi" w:hAnsiTheme="majorHAnsi" w:cstheme="majorHAnsi"/>
                <w:bCs/>
                <w:spacing w:val="-3"/>
                <w:sz w:val="16"/>
                <w:szCs w:val="16"/>
              </w:rPr>
            </w:pPr>
            <w:r w:rsidRPr="003E5C3C">
              <w:rPr>
                <w:rFonts w:asciiTheme="majorHAnsi" w:hAnsiTheme="majorHAnsi" w:cstheme="majorHAnsi"/>
                <w:bCs/>
                <w:spacing w:val="-3"/>
                <w:sz w:val="16"/>
                <w:szCs w:val="16"/>
              </w:rPr>
              <w:t>Los d</w:t>
            </w:r>
            <w:r>
              <w:rPr>
                <w:rFonts w:asciiTheme="majorHAnsi" w:hAnsiTheme="majorHAnsi" w:cstheme="majorHAnsi"/>
                <w:bCs/>
                <w:spacing w:val="-3"/>
                <w:sz w:val="16"/>
                <w:szCs w:val="16"/>
              </w:rPr>
              <w:t xml:space="preserve">erechos y obligaciones de los inversionistas que participan en </w:t>
            </w:r>
            <w:r w:rsidRPr="00621DBB">
              <w:rPr>
                <w:rFonts w:asciiTheme="majorHAnsi" w:hAnsiTheme="majorHAnsi" w:cstheme="majorHAnsi"/>
                <w:bCs/>
                <w:spacing w:val="-3"/>
                <w:sz w:val="16"/>
                <w:szCs w:val="16"/>
                <w:u w:val="single"/>
              </w:rPr>
              <w:t>El Fondo 1525</w:t>
            </w:r>
            <w:r w:rsidR="00621DBB" w:rsidRPr="00621DBB">
              <w:rPr>
                <w:rFonts w:asciiTheme="majorHAnsi" w:hAnsiTheme="majorHAnsi" w:cstheme="majorHAnsi"/>
                <w:bCs/>
                <w:spacing w:val="-3"/>
                <w:sz w:val="16"/>
                <w:szCs w:val="16"/>
                <w:u w:val="single"/>
              </w:rPr>
              <w:t xml:space="preserve"> Plus</w:t>
            </w:r>
            <w:r>
              <w:rPr>
                <w:rFonts w:asciiTheme="majorHAnsi" w:hAnsiTheme="majorHAnsi" w:cstheme="majorHAnsi"/>
                <w:bCs/>
                <w:spacing w:val="-3"/>
                <w:sz w:val="16"/>
                <w:szCs w:val="16"/>
              </w:rPr>
              <w:t xml:space="preserve"> a través de la Cuenta Omnibus 1525, están descritos en el Capítulo VI. Derechos y Obligaciones de los Inversionistas y Casa de Bolsa del </w:t>
            </w:r>
            <w:r w:rsidRPr="003E5C3C">
              <w:rPr>
                <w:rFonts w:asciiTheme="majorHAnsi" w:hAnsiTheme="majorHAnsi" w:cstheme="majorHAnsi"/>
                <w:bCs/>
                <w:spacing w:val="-3"/>
                <w:sz w:val="16"/>
                <w:szCs w:val="16"/>
              </w:rPr>
              <w:t>Reglamento Marco para el Desarrollo de la Actividad de Distribución Especializada a través de Cuentas Ómnibus.</w:t>
            </w:r>
          </w:p>
        </w:tc>
      </w:tr>
    </w:tbl>
    <w:p w14:paraId="473E0BF8" w14:textId="5212012E" w:rsidR="00A82C04" w:rsidRDefault="00A82C04" w:rsidP="00916E9B">
      <w:pPr>
        <w:tabs>
          <w:tab w:val="left" w:pos="0"/>
        </w:tabs>
        <w:spacing w:after="0" w:line="240" w:lineRule="auto"/>
        <w:ind w:right="51"/>
        <w:jc w:val="both"/>
        <w:rPr>
          <w:rFonts w:asciiTheme="majorHAnsi" w:hAnsiTheme="majorHAnsi" w:cstheme="majorHAnsi"/>
          <w:b/>
          <w:spacing w:val="-3"/>
          <w:sz w:val="16"/>
          <w:szCs w:val="16"/>
        </w:rPr>
      </w:pPr>
    </w:p>
    <w:p w14:paraId="78380F05" w14:textId="77777777" w:rsidR="00C767A8" w:rsidRPr="008A0E23" w:rsidRDefault="00C767A8" w:rsidP="00916E9B">
      <w:pPr>
        <w:tabs>
          <w:tab w:val="left" w:pos="0"/>
        </w:tabs>
        <w:spacing w:after="0" w:line="240" w:lineRule="auto"/>
        <w:ind w:right="51"/>
        <w:jc w:val="both"/>
        <w:rPr>
          <w:rFonts w:asciiTheme="majorHAnsi" w:hAnsiTheme="majorHAnsi" w:cstheme="majorHAnsi"/>
          <w:b/>
          <w:spacing w:val="-3"/>
          <w:sz w:val="16"/>
          <w:szCs w:val="16"/>
        </w:rPr>
      </w:pPr>
    </w:p>
    <w:p w14:paraId="51AF2F43" w14:textId="1D1E9CB9" w:rsidR="00800BD7" w:rsidRPr="009A233C" w:rsidRDefault="000D2000" w:rsidP="00AF7B70">
      <w:pPr>
        <w:pStyle w:val="Prrafodelista"/>
        <w:numPr>
          <w:ilvl w:val="0"/>
          <w:numId w:val="18"/>
        </w:numPr>
        <w:tabs>
          <w:tab w:val="left" w:pos="0"/>
        </w:tabs>
        <w:spacing w:after="0" w:line="240" w:lineRule="auto"/>
        <w:ind w:right="51"/>
        <w:jc w:val="both"/>
        <w:rPr>
          <w:rFonts w:asciiTheme="majorHAnsi" w:hAnsiTheme="majorHAnsi" w:cstheme="majorHAnsi"/>
          <w:b/>
          <w:spacing w:val="-3"/>
          <w:sz w:val="16"/>
          <w:szCs w:val="16"/>
        </w:rPr>
      </w:pPr>
      <w:bookmarkStart w:id="4" w:name="_Hlk99125950"/>
      <w:bookmarkStart w:id="5" w:name="_Hlk62571777"/>
      <w:r w:rsidRPr="009A233C">
        <w:rPr>
          <w:rFonts w:asciiTheme="majorHAnsi" w:hAnsiTheme="majorHAnsi" w:cstheme="majorHAnsi"/>
          <w:b/>
          <w:spacing w:val="-3"/>
          <w:sz w:val="16"/>
          <w:szCs w:val="16"/>
        </w:rPr>
        <w:t>Información sobre los precios, comparaciones de beneficios y riesgos entre las diferentes alternativas de inversión</w:t>
      </w:r>
      <w:bookmarkEnd w:id="4"/>
      <w:r w:rsidRPr="009A233C">
        <w:rPr>
          <w:rFonts w:asciiTheme="majorHAnsi" w:hAnsiTheme="majorHAnsi" w:cstheme="majorHAnsi"/>
          <w:b/>
          <w:spacing w:val="-3"/>
          <w:sz w:val="16"/>
          <w:szCs w:val="16"/>
        </w:rPr>
        <w:t>:</w:t>
      </w:r>
    </w:p>
    <w:p w14:paraId="48B5032B" w14:textId="0FB68DD4" w:rsidR="00C03EFA" w:rsidRPr="00924040" w:rsidRDefault="00C03EFA" w:rsidP="00C03EFA">
      <w:pPr>
        <w:pStyle w:val="Prrafodelista"/>
        <w:tabs>
          <w:tab w:val="left" w:pos="0"/>
        </w:tabs>
        <w:spacing w:after="0" w:line="240" w:lineRule="auto"/>
        <w:ind w:left="1080" w:right="51"/>
        <w:jc w:val="both"/>
        <w:rPr>
          <w:rFonts w:asciiTheme="majorHAnsi" w:hAnsiTheme="majorHAnsi" w:cstheme="majorHAnsi"/>
          <w:b/>
          <w:spacing w:val="-3"/>
          <w:sz w:val="16"/>
          <w:szCs w:val="16"/>
          <w:highlight w:val="yellow"/>
        </w:rPr>
      </w:pPr>
    </w:p>
    <w:p w14:paraId="696BC844" w14:textId="77777777" w:rsidR="00AB5236" w:rsidRPr="00924040" w:rsidRDefault="00AB5236" w:rsidP="00C03EFA">
      <w:pPr>
        <w:pStyle w:val="Prrafodelista"/>
        <w:tabs>
          <w:tab w:val="left" w:pos="0"/>
        </w:tabs>
        <w:spacing w:after="0" w:line="240" w:lineRule="auto"/>
        <w:ind w:left="1080" w:right="51"/>
        <w:jc w:val="both"/>
        <w:rPr>
          <w:rFonts w:asciiTheme="majorHAnsi" w:hAnsiTheme="majorHAnsi" w:cstheme="majorHAnsi"/>
          <w:b/>
          <w:spacing w:val="-3"/>
          <w:sz w:val="16"/>
          <w:szCs w:val="16"/>
          <w:highlight w:val="yellow"/>
        </w:rPr>
      </w:pPr>
    </w:p>
    <w:bookmarkEnd w:id="5"/>
    <w:p w14:paraId="26B4D848" w14:textId="32FDAA32" w:rsidR="009A233C" w:rsidRPr="009A233C" w:rsidRDefault="009A233C" w:rsidP="009A233C">
      <w:pPr>
        <w:tabs>
          <w:tab w:val="left" w:pos="0"/>
        </w:tabs>
        <w:spacing w:after="0" w:line="240" w:lineRule="auto"/>
        <w:ind w:right="51"/>
        <w:jc w:val="both"/>
        <w:rPr>
          <w:rFonts w:asciiTheme="majorHAnsi" w:hAnsiTheme="majorHAnsi" w:cstheme="majorHAnsi"/>
          <w:bCs/>
          <w:spacing w:val="-3"/>
          <w:sz w:val="16"/>
          <w:szCs w:val="16"/>
        </w:rPr>
      </w:pPr>
      <w:r w:rsidRPr="009A233C">
        <w:rPr>
          <w:rFonts w:asciiTheme="majorHAnsi" w:hAnsiTheme="majorHAnsi" w:cstheme="majorHAnsi"/>
          <w:bCs/>
          <w:spacing w:val="-3"/>
          <w:sz w:val="16"/>
          <w:szCs w:val="16"/>
        </w:rPr>
        <w:t>El objetivo de</w:t>
      </w:r>
      <w:r w:rsidR="00621DBB">
        <w:rPr>
          <w:rFonts w:asciiTheme="majorHAnsi" w:hAnsiTheme="majorHAnsi" w:cstheme="majorHAnsi"/>
          <w:bCs/>
          <w:spacing w:val="-3"/>
          <w:sz w:val="16"/>
          <w:szCs w:val="16"/>
        </w:rPr>
        <w:t xml:space="preserve"> </w:t>
      </w:r>
      <w:r w:rsidR="00621DBB" w:rsidRPr="00621DBB">
        <w:rPr>
          <w:rFonts w:asciiTheme="majorHAnsi" w:hAnsiTheme="majorHAnsi" w:cstheme="majorHAnsi"/>
          <w:bCs/>
          <w:spacing w:val="-3"/>
          <w:sz w:val="16"/>
          <w:szCs w:val="16"/>
          <w:u w:val="single"/>
        </w:rPr>
        <w:t>E</w:t>
      </w:r>
      <w:r w:rsidRPr="00621DBB">
        <w:rPr>
          <w:rFonts w:asciiTheme="majorHAnsi" w:hAnsiTheme="majorHAnsi" w:cstheme="majorHAnsi"/>
          <w:bCs/>
          <w:spacing w:val="-3"/>
          <w:sz w:val="16"/>
          <w:szCs w:val="16"/>
          <w:u w:val="single"/>
        </w:rPr>
        <w:t xml:space="preserve">l Fondo </w:t>
      </w:r>
      <w:r w:rsidR="00621DBB" w:rsidRPr="00621DBB">
        <w:rPr>
          <w:rFonts w:asciiTheme="majorHAnsi" w:hAnsiTheme="majorHAnsi" w:cstheme="majorHAnsi"/>
          <w:bCs/>
          <w:spacing w:val="-3"/>
          <w:sz w:val="16"/>
          <w:szCs w:val="16"/>
          <w:u w:val="single"/>
        </w:rPr>
        <w:t>1525 Plus</w:t>
      </w:r>
      <w:r w:rsidR="00621DBB">
        <w:rPr>
          <w:rFonts w:asciiTheme="majorHAnsi" w:hAnsiTheme="majorHAnsi" w:cstheme="majorHAnsi"/>
          <w:bCs/>
          <w:spacing w:val="-3"/>
          <w:sz w:val="16"/>
          <w:szCs w:val="16"/>
        </w:rPr>
        <w:t xml:space="preserve"> </w:t>
      </w:r>
      <w:r w:rsidRPr="009A233C">
        <w:rPr>
          <w:rFonts w:asciiTheme="majorHAnsi" w:hAnsiTheme="majorHAnsi" w:cstheme="majorHAnsi"/>
          <w:bCs/>
          <w:spacing w:val="-3"/>
          <w:sz w:val="16"/>
          <w:szCs w:val="16"/>
        </w:rPr>
        <w:t>es brindar al inversionista una alternativa de inversión conservadora con un perfil de riesgo bajo, que invierte en su mayoría en títulos emitidos por la Nación, cuentas bancarias y CDT de mediano y corto plazo con bajo riesgo crediticio, está dirigida principalmente a aquéllos inversionistas que deben cumplir con el régimen de inversión previsto en el Libro 2, Parte 3, Título 3 del Decreto 1068 de 2015, Decreto Único Reglamentario del Sector Hacienda y Página 2 de 46 Crédito Público o en las normas que lo adicionen, modifiquen y/o reglamenten, pues cumple con todas las limitaciones de inversión establecidas en el mismo.</w:t>
      </w:r>
    </w:p>
    <w:p w14:paraId="02DA03DF" w14:textId="77777777" w:rsidR="009A233C" w:rsidRPr="009A233C" w:rsidRDefault="009A233C" w:rsidP="009A233C">
      <w:pPr>
        <w:tabs>
          <w:tab w:val="left" w:pos="0"/>
        </w:tabs>
        <w:spacing w:after="0" w:line="240" w:lineRule="auto"/>
        <w:ind w:right="51"/>
        <w:jc w:val="both"/>
        <w:rPr>
          <w:rFonts w:asciiTheme="majorHAnsi" w:hAnsiTheme="majorHAnsi" w:cstheme="majorHAnsi"/>
          <w:bCs/>
          <w:spacing w:val="-3"/>
          <w:sz w:val="16"/>
          <w:szCs w:val="16"/>
        </w:rPr>
      </w:pPr>
    </w:p>
    <w:p w14:paraId="740CAD90" w14:textId="0026382C" w:rsidR="00AB5236" w:rsidRDefault="009A233C" w:rsidP="009A233C">
      <w:pPr>
        <w:tabs>
          <w:tab w:val="left" w:pos="0"/>
        </w:tabs>
        <w:spacing w:after="0" w:line="240" w:lineRule="auto"/>
        <w:ind w:right="51"/>
        <w:jc w:val="both"/>
        <w:rPr>
          <w:rFonts w:asciiTheme="majorHAnsi" w:hAnsiTheme="majorHAnsi" w:cstheme="majorHAnsi"/>
          <w:bCs/>
          <w:spacing w:val="-3"/>
          <w:sz w:val="16"/>
          <w:szCs w:val="16"/>
        </w:rPr>
      </w:pPr>
      <w:r w:rsidRPr="009A233C">
        <w:rPr>
          <w:rFonts w:asciiTheme="majorHAnsi" w:hAnsiTheme="majorHAnsi" w:cstheme="majorHAnsi"/>
          <w:bCs/>
          <w:spacing w:val="-3"/>
          <w:sz w:val="16"/>
          <w:szCs w:val="16"/>
        </w:rPr>
        <w:t xml:space="preserve">En el mercado existen Fondos de Inversión Colectiva que cumplen los regímenes de inversión mencionados previamente, sin embargo, </w:t>
      </w:r>
      <w:r w:rsidR="00621DBB" w:rsidRPr="00621DBB">
        <w:rPr>
          <w:rFonts w:asciiTheme="majorHAnsi" w:hAnsiTheme="majorHAnsi" w:cstheme="majorHAnsi"/>
          <w:bCs/>
          <w:spacing w:val="-3"/>
          <w:sz w:val="16"/>
          <w:szCs w:val="16"/>
          <w:u w:val="single"/>
        </w:rPr>
        <w:t xml:space="preserve">El Fondo </w:t>
      </w:r>
      <w:r w:rsidRPr="00621DBB">
        <w:rPr>
          <w:rFonts w:asciiTheme="majorHAnsi" w:hAnsiTheme="majorHAnsi" w:cstheme="majorHAnsi"/>
          <w:bCs/>
          <w:spacing w:val="-3"/>
          <w:sz w:val="16"/>
          <w:szCs w:val="16"/>
          <w:u w:val="single"/>
        </w:rPr>
        <w:t>1525 Plus</w:t>
      </w:r>
      <w:r w:rsidRPr="009A233C">
        <w:rPr>
          <w:rFonts w:asciiTheme="majorHAnsi" w:hAnsiTheme="majorHAnsi" w:cstheme="majorHAnsi"/>
          <w:bCs/>
          <w:spacing w:val="-3"/>
          <w:sz w:val="16"/>
          <w:szCs w:val="16"/>
        </w:rPr>
        <w:t xml:space="preserve"> es considerado un fondo refugio en momentos de altas volatilidades durante periodo prolongados, dada su baja duración (El plazo promedio ponderado de los activos del Fondo no será superior a 180 días) y alto porcentaje en liquidez (El FIC podrá mantener hasta el 60% del valor de sus activos en depósitos a la vista).</w:t>
      </w:r>
    </w:p>
    <w:p w14:paraId="28CD2E86" w14:textId="627EA3D8" w:rsidR="009A233C" w:rsidRDefault="009A233C" w:rsidP="009A233C">
      <w:pPr>
        <w:tabs>
          <w:tab w:val="left" w:pos="0"/>
        </w:tabs>
        <w:spacing w:after="0" w:line="240" w:lineRule="auto"/>
        <w:ind w:right="51"/>
        <w:jc w:val="both"/>
        <w:rPr>
          <w:rFonts w:asciiTheme="majorHAnsi" w:hAnsiTheme="majorHAnsi" w:cstheme="majorHAnsi"/>
          <w:bCs/>
          <w:spacing w:val="-3"/>
          <w:sz w:val="16"/>
          <w:szCs w:val="16"/>
        </w:rPr>
      </w:pPr>
    </w:p>
    <w:p w14:paraId="2F607527" w14:textId="77777777" w:rsidR="009A233C" w:rsidRPr="009A233C" w:rsidRDefault="009A233C" w:rsidP="009A233C">
      <w:pPr>
        <w:tabs>
          <w:tab w:val="left" w:pos="0"/>
        </w:tabs>
        <w:spacing w:after="0" w:line="240" w:lineRule="auto"/>
        <w:ind w:right="51"/>
        <w:jc w:val="both"/>
        <w:rPr>
          <w:rFonts w:asciiTheme="majorHAnsi" w:hAnsiTheme="majorHAnsi" w:cstheme="majorHAnsi"/>
          <w:bCs/>
          <w:spacing w:val="-3"/>
          <w:sz w:val="16"/>
          <w:szCs w:val="16"/>
        </w:rPr>
      </w:pPr>
    </w:p>
    <w:p w14:paraId="31C761A2" w14:textId="51B89855" w:rsidR="00800BD7" w:rsidRPr="008A0E23" w:rsidRDefault="00800BD7" w:rsidP="00AF7B70">
      <w:pPr>
        <w:pStyle w:val="Prrafodelista"/>
        <w:numPr>
          <w:ilvl w:val="0"/>
          <w:numId w:val="18"/>
        </w:numPr>
        <w:tabs>
          <w:tab w:val="left" w:pos="0"/>
        </w:tabs>
        <w:spacing w:after="0" w:line="240" w:lineRule="auto"/>
        <w:ind w:right="51"/>
        <w:jc w:val="both"/>
        <w:rPr>
          <w:rFonts w:asciiTheme="majorHAnsi" w:hAnsiTheme="majorHAnsi" w:cstheme="majorHAnsi"/>
          <w:b/>
          <w:spacing w:val="-3"/>
          <w:sz w:val="16"/>
          <w:szCs w:val="16"/>
        </w:rPr>
      </w:pPr>
      <w:r w:rsidRPr="008A0E23">
        <w:rPr>
          <w:rFonts w:asciiTheme="majorHAnsi" w:hAnsiTheme="majorHAnsi" w:cstheme="majorHAnsi"/>
          <w:b/>
          <w:spacing w:val="-3"/>
          <w:sz w:val="16"/>
          <w:szCs w:val="16"/>
        </w:rPr>
        <w:t>La forma en la que el producto se ajusta o no a la tolerancia al riesgo del inversionista de acuerdo</w:t>
      </w:r>
      <w:r w:rsidR="00B402DF" w:rsidRPr="008A0E23">
        <w:rPr>
          <w:rFonts w:asciiTheme="majorHAnsi" w:hAnsiTheme="majorHAnsi" w:cstheme="majorHAnsi"/>
          <w:b/>
          <w:spacing w:val="-3"/>
          <w:sz w:val="16"/>
          <w:szCs w:val="16"/>
        </w:rPr>
        <w:t xml:space="preserve"> con el perfilamiento realizado:</w:t>
      </w:r>
    </w:p>
    <w:p w14:paraId="7DA69734" w14:textId="77777777" w:rsidR="00AB5236" w:rsidRPr="008A0E23" w:rsidRDefault="00AB5236" w:rsidP="00AB5236">
      <w:pPr>
        <w:pStyle w:val="Prrafodelista"/>
        <w:tabs>
          <w:tab w:val="left" w:pos="0"/>
        </w:tabs>
        <w:spacing w:after="0" w:line="240" w:lineRule="auto"/>
        <w:ind w:left="1080" w:right="51"/>
        <w:jc w:val="both"/>
        <w:rPr>
          <w:rFonts w:asciiTheme="majorHAnsi" w:hAnsiTheme="majorHAnsi" w:cstheme="majorHAnsi"/>
          <w:b/>
          <w:spacing w:val="-3"/>
          <w:sz w:val="16"/>
          <w:szCs w:val="16"/>
        </w:rPr>
      </w:pPr>
    </w:p>
    <w:p w14:paraId="48F948B6" w14:textId="77777777" w:rsidR="008952EC" w:rsidRPr="008A0E23" w:rsidRDefault="008952EC" w:rsidP="008952EC">
      <w:pPr>
        <w:pStyle w:val="Prrafodelista"/>
        <w:tabs>
          <w:tab w:val="left" w:pos="0"/>
        </w:tabs>
        <w:spacing w:after="0" w:line="240" w:lineRule="auto"/>
        <w:ind w:left="1080" w:right="51"/>
        <w:jc w:val="both"/>
        <w:rPr>
          <w:rFonts w:asciiTheme="majorHAnsi" w:hAnsiTheme="majorHAnsi" w:cstheme="majorHAnsi"/>
          <w:b/>
          <w:spacing w:val="-3"/>
          <w:sz w:val="16"/>
          <w:szCs w:val="16"/>
        </w:rPr>
      </w:pPr>
    </w:p>
    <w:p w14:paraId="30B8ED5C" w14:textId="5545A70E" w:rsidR="009A233C" w:rsidRDefault="009A233C" w:rsidP="00B402DF">
      <w:pPr>
        <w:jc w:val="both"/>
        <w:rPr>
          <w:rFonts w:asciiTheme="majorHAnsi" w:hAnsiTheme="majorHAnsi" w:cstheme="majorHAnsi"/>
          <w:spacing w:val="-3"/>
          <w:sz w:val="16"/>
          <w:szCs w:val="16"/>
        </w:rPr>
      </w:pPr>
      <w:r w:rsidRPr="009A233C">
        <w:rPr>
          <w:rFonts w:asciiTheme="majorHAnsi" w:hAnsiTheme="majorHAnsi" w:cstheme="majorHAnsi"/>
          <w:spacing w:val="-3"/>
          <w:sz w:val="16"/>
          <w:szCs w:val="16"/>
        </w:rPr>
        <w:t xml:space="preserve">Teniendo en cuenta que el perfil de riesgo de </w:t>
      </w:r>
      <w:r w:rsidRPr="00621DBB">
        <w:rPr>
          <w:rFonts w:asciiTheme="majorHAnsi" w:hAnsiTheme="majorHAnsi" w:cstheme="majorHAnsi"/>
          <w:spacing w:val="-3"/>
          <w:sz w:val="16"/>
          <w:szCs w:val="16"/>
          <w:u w:val="single"/>
        </w:rPr>
        <w:t>El Fondo 1525 Plus</w:t>
      </w:r>
      <w:r w:rsidRPr="009A233C">
        <w:rPr>
          <w:rFonts w:asciiTheme="majorHAnsi" w:hAnsiTheme="majorHAnsi" w:cstheme="majorHAnsi"/>
          <w:spacing w:val="-3"/>
          <w:sz w:val="16"/>
          <w:szCs w:val="16"/>
        </w:rPr>
        <w:t xml:space="preserve"> es conservador y no cuenta con pacto de </w:t>
      </w:r>
      <w:proofErr w:type="gramStart"/>
      <w:r w:rsidRPr="009A233C">
        <w:rPr>
          <w:rFonts w:asciiTheme="majorHAnsi" w:hAnsiTheme="majorHAnsi" w:cstheme="majorHAnsi"/>
          <w:spacing w:val="-3"/>
          <w:sz w:val="16"/>
          <w:szCs w:val="16"/>
        </w:rPr>
        <w:t>permanencia ,</w:t>
      </w:r>
      <w:proofErr w:type="gramEnd"/>
      <w:r w:rsidRPr="009A233C">
        <w:rPr>
          <w:rFonts w:asciiTheme="majorHAnsi" w:hAnsiTheme="majorHAnsi" w:cstheme="majorHAnsi"/>
          <w:spacing w:val="-3"/>
          <w:sz w:val="16"/>
          <w:szCs w:val="16"/>
        </w:rPr>
        <w:t xml:space="preserve"> lo cual significa que los recursos invertidos se pueden retirar en cualquier momento, sin penalidad, en los términos indicados anteriormente, Casa de Bolsa S.A. recomienda esta inversión tanto a los inversionistas profesionales como a los clientes inversionistas, independientemente de su perfil de riesgo.</w:t>
      </w:r>
    </w:p>
    <w:p w14:paraId="00F660FA" w14:textId="77777777" w:rsidR="009A233C" w:rsidRDefault="009A233C" w:rsidP="00B402DF">
      <w:pPr>
        <w:jc w:val="both"/>
        <w:rPr>
          <w:rFonts w:asciiTheme="majorHAnsi" w:hAnsiTheme="majorHAnsi" w:cstheme="majorHAnsi"/>
          <w:spacing w:val="-3"/>
          <w:sz w:val="16"/>
          <w:szCs w:val="16"/>
        </w:rPr>
      </w:pPr>
    </w:p>
    <w:p w14:paraId="7DA99F47" w14:textId="4176ADCD" w:rsidR="00646246" w:rsidRPr="008A0E23" w:rsidRDefault="00646246" w:rsidP="00B402DF">
      <w:pPr>
        <w:jc w:val="both"/>
        <w:rPr>
          <w:rFonts w:asciiTheme="majorHAnsi" w:hAnsiTheme="majorHAnsi" w:cstheme="majorHAnsi"/>
          <w:spacing w:val="-3"/>
          <w:sz w:val="16"/>
          <w:szCs w:val="16"/>
        </w:rPr>
      </w:pPr>
      <w:r w:rsidRPr="008A0E23">
        <w:rPr>
          <w:rFonts w:asciiTheme="majorHAnsi" w:hAnsiTheme="majorHAnsi" w:cstheme="majorHAnsi"/>
          <w:spacing w:val="-3"/>
          <w:sz w:val="16"/>
          <w:szCs w:val="16"/>
        </w:rPr>
        <w:t>Quedamos a su disposición para aclarar cualquier inquietud o ampliar la información suministrada anteriormente.</w:t>
      </w:r>
    </w:p>
    <w:p w14:paraId="6F5073E1" w14:textId="77777777" w:rsidR="00E5502B" w:rsidRPr="008A0E23" w:rsidRDefault="00E5502B" w:rsidP="00B402DF">
      <w:pPr>
        <w:jc w:val="both"/>
        <w:rPr>
          <w:rFonts w:asciiTheme="majorHAnsi" w:hAnsiTheme="majorHAnsi" w:cstheme="majorHAnsi"/>
          <w:spacing w:val="-3"/>
          <w:sz w:val="16"/>
          <w:szCs w:val="16"/>
        </w:rPr>
      </w:pPr>
      <w:r w:rsidRPr="008A0E23">
        <w:rPr>
          <w:rFonts w:asciiTheme="majorHAnsi" w:hAnsiTheme="majorHAnsi" w:cstheme="majorHAnsi"/>
          <w:spacing w:val="-3"/>
          <w:sz w:val="16"/>
          <w:szCs w:val="16"/>
        </w:rPr>
        <w:t>No siendo otro el particular.</w:t>
      </w:r>
    </w:p>
    <w:p w14:paraId="7C7A8023" w14:textId="77777777" w:rsidR="00E5502B" w:rsidRPr="008A0E23" w:rsidRDefault="00E5502B" w:rsidP="00B402DF">
      <w:pPr>
        <w:jc w:val="both"/>
        <w:rPr>
          <w:rFonts w:asciiTheme="majorHAnsi" w:hAnsiTheme="majorHAnsi" w:cstheme="majorHAnsi"/>
          <w:spacing w:val="-3"/>
          <w:sz w:val="16"/>
          <w:szCs w:val="16"/>
        </w:rPr>
      </w:pPr>
      <w:r w:rsidRPr="008A0E23">
        <w:rPr>
          <w:rFonts w:asciiTheme="majorHAnsi" w:hAnsiTheme="majorHAnsi" w:cstheme="majorHAnsi"/>
          <w:spacing w:val="-3"/>
          <w:sz w:val="16"/>
          <w:szCs w:val="16"/>
        </w:rPr>
        <w:t xml:space="preserve">Atentamente.  </w:t>
      </w:r>
    </w:p>
    <w:p w14:paraId="50F2A34B" w14:textId="569A1839" w:rsidR="00F3452C" w:rsidRPr="008A0E23" w:rsidRDefault="00F3452C" w:rsidP="00B402DF">
      <w:pPr>
        <w:jc w:val="both"/>
        <w:rPr>
          <w:rFonts w:asciiTheme="majorHAnsi" w:hAnsiTheme="majorHAnsi" w:cstheme="majorHAnsi"/>
          <w:spacing w:val="-3"/>
          <w:sz w:val="16"/>
          <w:szCs w:val="16"/>
        </w:rPr>
      </w:pPr>
    </w:p>
    <w:p w14:paraId="70A0211D" w14:textId="77777777" w:rsidR="00AB5236" w:rsidRPr="008A0E23" w:rsidRDefault="00AB5236" w:rsidP="00B402DF">
      <w:pPr>
        <w:jc w:val="both"/>
        <w:rPr>
          <w:rFonts w:asciiTheme="majorHAnsi" w:hAnsiTheme="majorHAnsi" w:cstheme="majorHAnsi"/>
          <w:spacing w:val="-3"/>
          <w:sz w:val="16"/>
          <w:szCs w:val="16"/>
        </w:rPr>
      </w:pPr>
    </w:p>
    <w:p w14:paraId="076F4B52" w14:textId="77777777" w:rsidR="00CE3749" w:rsidRPr="008A0E23" w:rsidRDefault="00026D6F" w:rsidP="0067677A">
      <w:pPr>
        <w:spacing w:after="0" w:line="240" w:lineRule="auto"/>
        <w:jc w:val="both"/>
        <w:rPr>
          <w:rFonts w:asciiTheme="majorHAnsi" w:hAnsiTheme="majorHAnsi" w:cstheme="majorHAnsi"/>
          <w:b/>
          <w:sz w:val="16"/>
          <w:szCs w:val="16"/>
          <w:highlight w:val="yellow"/>
        </w:rPr>
      </w:pPr>
      <w:r w:rsidRPr="008A0E23">
        <w:rPr>
          <w:rFonts w:asciiTheme="majorHAnsi" w:hAnsiTheme="majorHAnsi" w:cstheme="majorHAnsi"/>
          <w:b/>
          <w:sz w:val="16"/>
          <w:szCs w:val="16"/>
          <w:highlight w:val="yellow"/>
        </w:rPr>
        <w:t xml:space="preserve">Nombre </w:t>
      </w:r>
      <w:r w:rsidR="00810D31" w:rsidRPr="008A0E23">
        <w:rPr>
          <w:rFonts w:asciiTheme="majorHAnsi" w:hAnsiTheme="majorHAnsi" w:cstheme="majorHAnsi"/>
          <w:b/>
          <w:sz w:val="16"/>
          <w:szCs w:val="16"/>
          <w:highlight w:val="yellow"/>
        </w:rPr>
        <w:t xml:space="preserve">del asesor </w:t>
      </w:r>
      <w:r w:rsidR="00CE3749" w:rsidRPr="008A0E23">
        <w:rPr>
          <w:rFonts w:asciiTheme="majorHAnsi" w:hAnsiTheme="majorHAnsi" w:cstheme="majorHAnsi"/>
          <w:b/>
          <w:sz w:val="16"/>
          <w:szCs w:val="16"/>
          <w:highlight w:val="yellow"/>
        </w:rPr>
        <w:t>Comercial</w:t>
      </w:r>
      <w:r w:rsidRPr="008A0E23">
        <w:rPr>
          <w:rFonts w:asciiTheme="majorHAnsi" w:hAnsiTheme="majorHAnsi" w:cstheme="majorHAnsi"/>
          <w:b/>
          <w:sz w:val="16"/>
          <w:szCs w:val="16"/>
          <w:highlight w:val="yellow"/>
        </w:rPr>
        <w:t xml:space="preserve"> </w:t>
      </w:r>
    </w:p>
    <w:p w14:paraId="53A92F74" w14:textId="77777777" w:rsidR="00800BD7" w:rsidRPr="008A0E23" w:rsidRDefault="00026D6F" w:rsidP="0067677A">
      <w:pPr>
        <w:spacing w:after="0" w:line="240" w:lineRule="auto"/>
        <w:jc w:val="both"/>
        <w:rPr>
          <w:rFonts w:asciiTheme="majorHAnsi" w:hAnsiTheme="majorHAnsi" w:cstheme="majorHAnsi"/>
          <w:b/>
          <w:sz w:val="16"/>
          <w:szCs w:val="16"/>
        </w:rPr>
      </w:pPr>
      <w:r w:rsidRPr="008A0E23">
        <w:rPr>
          <w:rFonts w:asciiTheme="majorHAnsi" w:hAnsiTheme="majorHAnsi" w:cstheme="majorHAnsi"/>
          <w:b/>
          <w:sz w:val="16"/>
          <w:szCs w:val="16"/>
          <w:highlight w:val="yellow"/>
        </w:rPr>
        <w:t>CC del comercial</w:t>
      </w:r>
    </w:p>
    <w:p w14:paraId="1C8E447E" w14:textId="77777777" w:rsidR="002530EB" w:rsidRPr="008A0E23" w:rsidRDefault="002530EB" w:rsidP="0067677A">
      <w:pPr>
        <w:spacing w:after="0" w:line="240" w:lineRule="auto"/>
        <w:jc w:val="both"/>
        <w:rPr>
          <w:rFonts w:asciiTheme="majorHAnsi" w:hAnsiTheme="majorHAnsi" w:cstheme="majorHAnsi"/>
          <w:b/>
          <w:sz w:val="16"/>
          <w:szCs w:val="16"/>
        </w:rPr>
      </w:pPr>
    </w:p>
    <w:p w14:paraId="18E656F7" w14:textId="77777777" w:rsidR="00CE3749" w:rsidRPr="008A0E23" w:rsidRDefault="00CE3749" w:rsidP="0067677A">
      <w:pPr>
        <w:spacing w:after="0" w:line="240" w:lineRule="auto"/>
        <w:jc w:val="both"/>
        <w:rPr>
          <w:rFonts w:asciiTheme="majorHAnsi" w:hAnsiTheme="majorHAnsi" w:cstheme="majorHAnsi"/>
          <w:b/>
          <w:sz w:val="16"/>
          <w:szCs w:val="16"/>
        </w:rPr>
      </w:pPr>
    </w:p>
    <w:p w14:paraId="57A2F641" w14:textId="77777777" w:rsidR="00F3452C" w:rsidRPr="008A0E23" w:rsidRDefault="00F3452C" w:rsidP="0067677A">
      <w:pPr>
        <w:spacing w:after="0" w:line="240" w:lineRule="auto"/>
        <w:jc w:val="both"/>
        <w:rPr>
          <w:rFonts w:asciiTheme="majorHAnsi" w:hAnsiTheme="majorHAnsi" w:cstheme="majorHAnsi"/>
          <w:b/>
          <w:sz w:val="16"/>
          <w:szCs w:val="16"/>
        </w:rPr>
      </w:pPr>
    </w:p>
    <w:p w14:paraId="21CE021E" w14:textId="77777777" w:rsidR="00F3452C" w:rsidRPr="008A0E23" w:rsidRDefault="00F3452C" w:rsidP="0067677A">
      <w:pPr>
        <w:spacing w:after="0" w:line="240" w:lineRule="auto"/>
        <w:jc w:val="both"/>
        <w:rPr>
          <w:rFonts w:asciiTheme="majorHAnsi" w:hAnsiTheme="majorHAnsi" w:cstheme="majorHAnsi"/>
          <w:b/>
          <w:sz w:val="16"/>
          <w:szCs w:val="16"/>
        </w:rPr>
      </w:pPr>
    </w:p>
    <w:p w14:paraId="7733FEF4" w14:textId="77777777" w:rsidR="00F3452C" w:rsidRPr="008A0E23" w:rsidRDefault="00F3452C" w:rsidP="0067677A">
      <w:pPr>
        <w:spacing w:after="0" w:line="240" w:lineRule="auto"/>
        <w:jc w:val="both"/>
        <w:rPr>
          <w:rFonts w:asciiTheme="majorHAnsi" w:hAnsiTheme="majorHAnsi" w:cstheme="majorHAnsi"/>
          <w:b/>
          <w:sz w:val="16"/>
          <w:szCs w:val="16"/>
        </w:rPr>
      </w:pPr>
    </w:p>
    <w:p w14:paraId="20C8D07A" w14:textId="77777777" w:rsidR="00CE3749" w:rsidRPr="008A0E23" w:rsidRDefault="00CE3749" w:rsidP="0067677A">
      <w:pPr>
        <w:spacing w:after="0" w:line="240" w:lineRule="auto"/>
        <w:jc w:val="both"/>
        <w:rPr>
          <w:rFonts w:asciiTheme="majorHAnsi" w:hAnsiTheme="majorHAnsi" w:cstheme="majorHAnsi"/>
          <w:b/>
          <w:sz w:val="16"/>
          <w:szCs w:val="16"/>
        </w:rPr>
      </w:pPr>
    </w:p>
    <w:p w14:paraId="52F29948" w14:textId="77777777" w:rsidR="00CE3749" w:rsidRPr="008A0E23" w:rsidRDefault="00CE3749" w:rsidP="0067677A">
      <w:pPr>
        <w:spacing w:after="0" w:line="240" w:lineRule="auto"/>
        <w:jc w:val="both"/>
        <w:rPr>
          <w:rFonts w:asciiTheme="majorHAnsi" w:hAnsiTheme="majorHAnsi" w:cstheme="majorHAnsi"/>
          <w:b/>
          <w:sz w:val="16"/>
          <w:szCs w:val="16"/>
        </w:rPr>
      </w:pPr>
      <w:r w:rsidRPr="008A0E23">
        <w:rPr>
          <w:rFonts w:asciiTheme="majorHAnsi" w:hAnsiTheme="majorHAnsi" w:cstheme="majorHAnsi"/>
          <w:b/>
          <w:sz w:val="16"/>
          <w:szCs w:val="16"/>
        </w:rPr>
        <w:t>Recibido:</w:t>
      </w:r>
    </w:p>
    <w:p w14:paraId="3FEF4B81" w14:textId="77777777" w:rsidR="00CE3749" w:rsidRPr="008A0E23" w:rsidRDefault="00CE3749" w:rsidP="0067677A">
      <w:pPr>
        <w:spacing w:after="0" w:line="240" w:lineRule="auto"/>
        <w:jc w:val="both"/>
        <w:rPr>
          <w:rFonts w:asciiTheme="majorHAnsi" w:hAnsiTheme="majorHAnsi" w:cstheme="majorHAnsi"/>
          <w:b/>
          <w:sz w:val="16"/>
          <w:szCs w:val="16"/>
        </w:rPr>
      </w:pPr>
    </w:p>
    <w:p w14:paraId="5A30605D" w14:textId="77777777" w:rsidR="00CE3749" w:rsidRPr="008A0E23" w:rsidRDefault="00CE3749" w:rsidP="0067677A">
      <w:pPr>
        <w:spacing w:after="0" w:line="240" w:lineRule="auto"/>
        <w:jc w:val="both"/>
        <w:rPr>
          <w:rFonts w:asciiTheme="majorHAnsi" w:hAnsiTheme="majorHAnsi" w:cstheme="majorHAnsi"/>
          <w:b/>
          <w:sz w:val="16"/>
          <w:szCs w:val="16"/>
        </w:rPr>
      </w:pPr>
    </w:p>
    <w:p w14:paraId="0CEDBB16" w14:textId="77777777" w:rsidR="006F2850" w:rsidRPr="008A0E23" w:rsidRDefault="006F2850" w:rsidP="0067677A">
      <w:pPr>
        <w:spacing w:after="0" w:line="240" w:lineRule="auto"/>
        <w:jc w:val="both"/>
        <w:rPr>
          <w:rFonts w:asciiTheme="majorHAnsi" w:hAnsiTheme="majorHAnsi" w:cstheme="majorHAnsi"/>
          <w:b/>
          <w:sz w:val="16"/>
          <w:szCs w:val="16"/>
        </w:rPr>
      </w:pPr>
    </w:p>
    <w:p w14:paraId="172EF2AB" w14:textId="77777777" w:rsidR="00CE3749" w:rsidRPr="008A0E23" w:rsidRDefault="00CE3749" w:rsidP="00CE3749">
      <w:pPr>
        <w:spacing w:after="0" w:line="240" w:lineRule="auto"/>
        <w:jc w:val="both"/>
        <w:rPr>
          <w:rFonts w:asciiTheme="majorHAnsi" w:hAnsiTheme="majorHAnsi" w:cstheme="majorHAnsi"/>
          <w:b/>
          <w:sz w:val="16"/>
          <w:szCs w:val="16"/>
        </w:rPr>
      </w:pPr>
      <w:r w:rsidRPr="008A0E23">
        <w:rPr>
          <w:rFonts w:asciiTheme="majorHAnsi" w:hAnsiTheme="majorHAnsi" w:cstheme="majorHAnsi"/>
          <w:b/>
          <w:sz w:val="16"/>
          <w:szCs w:val="16"/>
        </w:rPr>
        <w:t>________________________</w:t>
      </w:r>
    </w:p>
    <w:p w14:paraId="7F203C05" w14:textId="77777777" w:rsidR="009D1175" w:rsidRPr="008A0E23" w:rsidRDefault="00CE3749" w:rsidP="00CE3749">
      <w:pPr>
        <w:spacing w:after="0" w:line="240" w:lineRule="auto"/>
        <w:jc w:val="both"/>
        <w:rPr>
          <w:rFonts w:asciiTheme="majorHAnsi" w:hAnsiTheme="majorHAnsi" w:cstheme="majorHAnsi"/>
          <w:b/>
          <w:sz w:val="16"/>
          <w:szCs w:val="16"/>
        </w:rPr>
      </w:pPr>
      <w:r w:rsidRPr="008A0E23">
        <w:rPr>
          <w:rFonts w:asciiTheme="majorHAnsi" w:hAnsiTheme="majorHAnsi" w:cstheme="majorHAnsi"/>
          <w:b/>
          <w:sz w:val="16"/>
          <w:szCs w:val="16"/>
        </w:rPr>
        <w:t>Fi</w:t>
      </w:r>
      <w:r w:rsidR="009D1175" w:rsidRPr="008A0E23">
        <w:rPr>
          <w:rFonts w:asciiTheme="majorHAnsi" w:hAnsiTheme="majorHAnsi" w:cstheme="majorHAnsi"/>
          <w:b/>
          <w:sz w:val="16"/>
          <w:szCs w:val="16"/>
        </w:rPr>
        <w:t>r</w:t>
      </w:r>
      <w:r w:rsidRPr="008A0E23">
        <w:rPr>
          <w:rFonts w:asciiTheme="majorHAnsi" w:hAnsiTheme="majorHAnsi" w:cstheme="majorHAnsi"/>
          <w:b/>
          <w:sz w:val="16"/>
          <w:szCs w:val="16"/>
        </w:rPr>
        <w:t xml:space="preserve">ma </w:t>
      </w:r>
    </w:p>
    <w:p w14:paraId="12AB8AF9" w14:textId="77777777" w:rsidR="00CE3749" w:rsidRPr="008A0E23" w:rsidRDefault="00CE3749" w:rsidP="00CE3749">
      <w:pPr>
        <w:spacing w:after="0" w:line="240" w:lineRule="auto"/>
        <w:jc w:val="both"/>
        <w:rPr>
          <w:rFonts w:asciiTheme="majorHAnsi" w:hAnsiTheme="majorHAnsi" w:cstheme="majorHAnsi"/>
          <w:b/>
          <w:sz w:val="16"/>
          <w:szCs w:val="16"/>
        </w:rPr>
      </w:pPr>
      <w:r w:rsidRPr="008A0E23">
        <w:rPr>
          <w:rFonts w:asciiTheme="majorHAnsi" w:hAnsiTheme="majorHAnsi" w:cstheme="majorHAnsi"/>
          <w:b/>
          <w:sz w:val="16"/>
          <w:szCs w:val="16"/>
        </w:rPr>
        <w:t>Nombre</w:t>
      </w:r>
    </w:p>
    <w:p w14:paraId="59FF2F5F" w14:textId="77777777" w:rsidR="00CE3749" w:rsidRPr="008A0E23" w:rsidRDefault="00CE3749" w:rsidP="00CE3749">
      <w:pPr>
        <w:spacing w:after="0" w:line="240" w:lineRule="auto"/>
        <w:jc w:val="both"/>
        <w:rPr>
          <w:rFonts w:asciiTheme="majorHAnsi" w:hAnsiTheme="majorHAnsi" w:cstheme="majorHAnsi"/>
          <w:b/>
          <w:sz w:val="16"/>
          <w:szCs w:val="16"/>
        </w:rPr>
      </w:pPr>
      <w:r w:rsidRPr="008A0E23">
        <w:rPr>
          <w:rFonts w:asciiTheme="majorHAnsi" w:hAnsiTheme="majorHAnsi" w:cstheme="majorHAnsi"/>
          <w:b/>
          <w:sz w:val="16"/>
          <w:szCs w:val="16"/>
        </w:rPr>
        <w:t>Cédula</w:t>
      </w:r>
    </w:p>
    <w:p w14:paraId="2DC94334" w14:textId="77777777" w:rsidR="00CE3749" w:rsidRPr="008A0E23" w:rsidRDefault="00CE3749" w:rsidP="0067677A">
      <w:pPr>
        <w:spacing w:after="0" w:line="240" w:lineRule="auto"/>
        <w:jc w:val="both"/>
        <w:rPr>
          <w:rFonts w:asciiTheme="majorHAnsi" w:hAnsiTheme="majorHAnsi" w:cstheme="majorHAnsi"/>
          <w:b/>
          <w:sz w:val="16"/>
          <w:szCs w:val="16"/>
        </w:rPr>
      </w:pPr>
      <w:r w:rsidRPr="008A0E23">
        <w:rPr>
          <w:rFonts w:asciiTheme="majorHAnsi" w:hAnsiTheme="majorHAnsi" w:cstheme="majorHAnsi"/>
          <w:b/>
          <w:sz w:val="16"/>
          <w:szCs w:val="16"/>
        </w:rPr>
        <w:t>Cargo</w:t>
      </w:r>
    </w:p>
    <w:sectPr w:rsidR="00CE3749" w:rsidRPr="008A0E23" w:rsidSect="008952EC">
      <w:footerReference w:type="default" r:id="rId9"/>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72EB" w14:textId="77777777" w:rsidR="00D136C3" w:rsidRDefault="00D136C3" w:rsidP="008952EC">
      <w:pPr>
        <w:spacing w:after="0" w:line="240" w:lineRule="auto"/>
      </w:pPr>
      <w:r>
        <w:separator/>
      </w:r>
    </w:p>
  </w:endnote>
  <w:endnote w:type="continuationSeparator" w:id="0">
    <w:p w14:paraId="073272FE" w14:textId="77777777" w:rsidR="00D136C3" w:rsidRDefault="00D136C3" w:rsidP="0089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213395"/>
      <w:docPartObj>
        <w:docPartGallery w:val="Page Numbers (Bottom of Page)"/>
        <w:docPartUnique/>
      </w:docPartObj>
    </w:sdtPr>
    <w:sdtEndPr/>
    <w:sdtContent>
      <w:p w14:paraId="24EBFE03" w14:textId="77777777" w:rsidR="008952EC" w:rsidRDefault="000D2000">
        <w:pPr>
          <w:pStyle w:val="Piedepgina"/>
          <w:jc w:val="right"/>
        </w:pPr>
        <w:r>
          <w:fldChar w:fldCharType="begin"/>
        </w:r>
        <w:r w:rsidR="008952EC">
          <w:instrText>PAGE   \* MERGEFORMAT</w:instrText>
        </w:r>
        <w:r>
          <w:fldChar w:fldCharType="separate"/>
        </w:r>
        <w:r w:rsidR="00C5073D" w:rsidRPr="00C5073D">
          <w:rPr>
            <w:noProof/>
            <w:lang w:val="es-ES"/>
          </w:rPr>
          <w:t>10</w:t>
        </w:r>
        <w:r>
          <w:fldChar w:fldCharType="end"/>
        </w:r>
      </w:p>
    </w:sdtContent>
  </w:sdt>
  <w:p w14:paraId="0C7C7E2D" w14:textId="77777777" w:rsidR="008952EC" w:rsidRDefault="008952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1D8F" w14:textId="77777777" w:rsidR="00D136C3" w:rsidRDefault="00D136C3" w:rsidP="008952EC">
      <w:pPr>
        <w:spacing w:after="0" w:line="240" w:lineRule="auto"/>
      </w:pPr>
      <w:r>
        <w:separator/>
      </w:r>
    </w:p>
  </w:footnote>
  <w:footnote w:type="continuationSeparator" w:id="0">
    <w:p w14:paraId="52D02DB9" w14:textId="77777777" w:rsidR="00D136C3" w:rsidRDefault="00D136C3" w:rsidP="00895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CF2"/>
    <w:multiLevelType w:val="hybridMultilevel"/>
    <w:tmpl w:val="7496417A"/>
    <w:lvl w:ilvl="0" w:tplc="3726373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CC5BDD"/>
    <w:multiLevelType w:val="hybridMultilevel"/>
    <w:tmpl w:val="F13E59E6"/>
    <w:lvl w:ilvl="0" w:tplc="2C7C21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E92C7E"/>
    <w:multiLevelType w:val="hybridMultilevel"/>
    <w:tmpl w:val="581C8650"/>
    <w:lvl w:ilvl="0" w:tplc="5F9C5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6C51C3"/>
    <w:multiLevelType w:val="hybridMultilevel"/>
    <w:tmpl w:val="F13E59E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A75641"/>
    <w:multiLevelType w:val="hybridMultilevel"/>
    <w:tmpl w:val="F13E59E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D2775B"/>
    <w:multiLevelType w:val="hybridMultilevel"/>
    <w:tmpl w:val="E38C1022"/>
    <w:lvl w:ilvl="0" w:tplc="240A000B">
      <w:start w:val="1"/>
      <w:numFmt w:val="bullet"/>
      <w:lvlText w:val=""/>
      <w:lvlJc w:val="left"/>
      <w:pPr>
        <w:ind w:left="1800"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6" w15:restartNumberingAfterBreak="0">
    <w:nsid w:val="3A6E57A9"/>
    <w:multiLevelType w:val="hybridMultilevel"/>
    <w:tmpl w:val="E89ADB50"/>
    <w:lvl w:ilvl="0" w:tplc="240A0011">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3D86A76"/>
    <w:multiLevelType w:val="hybridMultilevel"/>
    <w:tmpl w:val="85A21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7AD718D"/>
    <w:multiLevelType w:val="hybridMultilevel"/>
    <w:tmpl w:val="225A32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2C778C"/>
    <w:multiLevelType w:val="hybridMultilevel"/>
    <w:tmpl w:val="812CE1D2"/>
    <w:lvl w:ilvl="0" w:tplc="3ED8575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6A47DF"/>
    <w:multiLevelType w:val="hybridMultilevel"/>
    <w:tmpl w:val="4DF4FD8C"/>
    <w:lvl w:ilvl="0" w:tplc="95D2231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96B07AA"/>
    <w:multiLevelType w:val="hybridMultilevel"/>
    <w:tmpl w:val="92126398"/>
    <w:lvl w:ilvl="0" w:tplc="DE6ECB6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9936B43"/>
    <w:multiLevelType w:val="hybridMultilevel"/>
    <w:tmpl w:val="EB781D26"/>
    <w:lvl w:ilvl="0" w:tplc="7D2A18F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9C338B2"/>
    <w:multiLevelType w:val="hybridMultilevel"/>
    <w:tmpl w:val="E7EE15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C362BA6"/>
    <w:multiLevelType w:val="hybridMultilevel"/>
    <w:tmpl w:val="A4E466A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D331EB5"/>
    <w:multiLevelType w:val="hybridMultilevel"/>
    <w:tmpl w:val="4B021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F195162"/>
    <w:multiLevelType w:val="hybridMultilevel"/>
    <w:tmpl w:val="B0D0AA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0D4445C"/>
    <w:multiLevelType w:val="hybridMultilevel"/>
    <w:tmpl w:val="70B6861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9"/>
  </w:num>
  <w:num w:numId="4">
    <w:abstractNumId w:val="10"/>
  </w:num>
  <w:num w:numId="5">
    <w:abstractNumId w:val="11"/>
  </w:num>
  <w:num w:numId="6">
    <w:abstractNumId w:val="14"/>
  </w:num>
  <w:num w:numId="7">
    <w:abstractNumId w:val="12"/>
  </w:num>
  <w:num w:numId="8">
    <w:abstractNumId w:val="2"/>
  </w:num>
  <w:num w:numId="9">
    <w:abstractNumId w:val="5"/>
  </w:num>
  <w:num w:numId="10">
    <w:abstractNumId w:val="8"/>
  </w:num>
  <w:num w:numId="11">
    <w:abstractNumId w:val="16"/>
  </w:num>
  <w:num w:numId="12">
    <w:abstractNumId w:val="0"/>
  </w:num>
  <w:num w:numId="13">
    <w:abstractNumId w:val="15"/>
  </w:num>
  <w:num w:numId="14">
    <w:abstractNumId w:val="13"/>
  </w:num>
  <w:num w:numId="15">
    <w:abstractNumId w:val="1"/>
  </w:num>
  <w:num w:numId="16">
    <w:abstractNumId w:val="3"/>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E42"/>
    <w:rsid w:val="00010305"/>
    <w:rsid w:val="00026D6F"/>
    <w:rsid w:val="00036749"/>
    <w:rsid w:val="00053FF5"/>
    <w:rsid w:val="000739F2"/>
    <w:rsid w:val="00074F5F"/>
    <w:rsid w:val="000771EF"/>
    <w:rsid w:val="00082B33"/>
    <w:rsid w:val="000B747C"/>
    <w:rsid w:val="000C6FCA"/>
    <w:rsid w:val="000D2000"/>
    <w:rsid w:val="00130F05"/>
    <w:rsid w:val="00164AD4"/>
    <w:rsid w:val="001828D9"/>
    <w:rsid w:val="001F31AE"/>
    <w:rsid w:val="00206369"/>
    <w:rsid w:val="00210093"/>
    <w:rsid w:val="00211BB6"/>
    <w:rsid w:val="0021653F"/>
    <w:rsid w:val="00216AF4"/>
    <w:rsid w:val="002530EB"/>
    <w:rsid w:val="002867B7"/>
    <w:rsid w:val="002A660B"/>
    <w:rsid w:val="002C18EA"/>
    <w:rsid w:val="002E6FD3"/>
    <w:rsid w:val="003003D8"/>
    <w:rsid w:val="003327B7"/>
    <w:rsid w:val="00337E0F"/>
    <w:rsid w:val="00363E82"/>
    <w:rsid w:val="00364EA9"/>
    <w:rsid w:val="003E5C3C"/>
    <w:rsid w:val="003E7971"/>
    <w:rsid w:val="003F2352"/>
    <w:rsid w:val="00406EC7"/>
    <w:rsid w:val="0042008D"/>
    <w:rsid w:val="00430D9A"/>
    <w:rsid w:val="00435E56"/>
    <w:rsid w:val="00441AC4"/>
    <w:rsid w:val="00447DAC"/>
    <w:rsid w:val="00470D39"/>
    <w:rsid w:val="004D67C2"/>
    <w:rsid w:val="004E4D9A"/>
    <w:rsid w:val="004F0D2D"/>
    <w:rsid w:val="004F4848"/>
    <w:rsid w:val="0050099A"/>
    <w:rsid w:val="005143B8"/>
    <w:rsid w:val="005349A3"/>
    <w:rsid w:val="00551E41"/>
    <w:rsid w:val="00555343"/>
    <w:rsid w:val="0059432D"/>
    <w:rsid w:val="005975DB"/>
    <w:rsid w:val="005A24E0"/>
    <w:rsid w:val="005A54CF"/>
    <w:rsid w:val="005B0DB8"/>
    <w:rsid w:val="005D5653"/>
    <w:rsid w:val="005E01F6"/>
    <w:rsid w:val="005E0FFE"/>
    <w:rsid w:val="005F2FF4"/>
    <w:rsid w:val="005F35AA"/>
    <w:rsid w:val="006050AD"/>
    <w:rsid w:val="00615B30"/>
    <w:rsid w:val="00617049"/>
    <w:rsid w:val="0062190E"/>
    <w:rsid w:val="00621DBB"/>
    <w:rsid w:val="00636944"/>
    <w:rsid w:val="00640858"/>
    <w:rsid w:val="00642B93"/>
    <w:rsid w:val="00643458"/>
    <w:rsid w:val="00644298"/>
    <w:rsid w:val="00646246"/>
    <w:rsid w:val="0065199A"/>
    <w:rsid w:val="00656A79"/>
    <w:rsid w:val="0066048E"/>
    <w:rsid w:val="00660F44"/>
    <w:rsid w:val="0067677A"/>
    <w:rsid w:val="00694E28"/>
    <w:rsid w:val="006A71EE"/>
    <w:rsid w:val="006B354B"/>
    <w:rsid w:val="006C01E2"/>
    <w:rsid w:val="006D026D"/>
    <w:rsid w:val="006D6A02"/>
    <w:rsid w:val="006F1328"/>
    <w:rsid w:val="006F2850"/>
    <w:rsid w:val="007035C0"/>
    <w:rsid w:val="007125F7"/>
    <w:rsid w:val="00725C07"/>
    <w:rsid w:val="00730D35"/>
    <w:rsid w:val="0073225D"/>
    <w:rsid w:val="00740FC2"/>
    <w:rsid w:val="00764598"/>
    <w:rsid w:val="007A723D"/>
    <w:rsid w:val="00800BD7"/>
    <w:rsid w:val="00810D31"/>
    <w:rsid w:val="00812A64"/>
    <w:rsid w:val="0081410C"/>
    <w:rsid w:val="0082474E"/>
    <w:rsid w:val="00834163"/>
    <w:rsid w:val="008465C7"/>
    <w:rsid w:val="00865C15"/>
    <w:rsid w:val="00870E11"/>
    <w:rsid w:val="008719BD"/>
    <w:rsid w:val="008952EC"/>
    <w:rsid w:val="008A0E23"/>
    <w:rsid w:val="008B0027"/>
    <w:rsid w:val="008E3486"/>
    <w:rsid w:val="008E5679"/>
    <w:rsid w:val="00900822"/>
    <w:rsid w:val="00903E9C"/>
    <w:rsid w:val="00904854"/>
    <w:rsid w:val="00913E31"/>
    <w:rsid w:val="00916E9B"/>
    <w:rsid w:val="00924040"/>
    <w:rsid w:val="00933E5B"/>
    <w:rsid w:val="00946A16"/>
    <w:rsid w:val="00950713"/>
    <w:rsid w:val="00950E21"/>
    <w:rsid w:val="009631FD"/>
    <w:rsid w:val="009716A5"/>
    <w:rsid w:val="0097607E"/>
    <w:rsid w:val="00985BAC"/>
    <w:rsid w:val="00997DA2"/>
    <w:rsid w:val="009A233C"/>
    <w:rsid w:val="009A6BAB"/>
    <w:rsid w:val="009D1175"/>
    <w:rsid w:val="009D1F26"/>
    <w:rsid w:val="009E2EBF"/>
    <w:rsid w:val="009E4FC0"/>
    <w:rsid w:val="00A03E9F"/>
    <w:rsid w:val="00A05AFD"/>
    <w:rsid w:val="00A23129"/>
    <w:rsid w:val="00A37677"/>
    <w:rsid w:val="00A7027E"/>
    <w:rsid w:val="00A80D2A"/>
    <w:rsid w:val="00A82C04"/>
    <w:rsid w:val="00A91ADB"/>
    <w:rsid w:val="00A95B8B"/>
    <w:rsid w:val="00AA13B0"/>
    <w:rsid w:val="00AA4E4A"/>
    <w:rsid w:val="00AB5236"/>
    <w:rsid w:val="00AC3F40"/>
    <w:rsid w:val="00AD25E3"/>
    <w:rsid w:val="00AD65D9"/>
    <w:rsid w:val="00AF7B70"/>
    <w:rsid w:val="00B01E42"/>
    <w:rsid w:val="00B068B3"/>
    <w:rsid w:val="00B140F0"/>
    <w:rsid w:val="00B312BB"/>
    <w:rsid w:val="00B34881"/>
    <w:rsid w:val="00B402DF"/>
    <w:rsid w:val="00B66690"/>
    <w:rsid w:val="00B75432"/>
    <w:rsid w:val="00B82730"/>
    <w:rsid w:val="00B82EA6"/>
    <w:rsid w:val="00B911B6"/>
    <w:rsid w:val="00BB7659"/>
    <w:rsid w:val="00BF1B1C"/>
    <w:rsid w:val="00BF2C65"/>
    <w:rsid w:val="00C03EFA"/>
    <w:rsid w:val="00C21410"/>
    <w:rsid w:val="00C21710"/>
    <w:rsid w:val="00C31AAF"/>
    <w:rsid w:val="00C326F2"/>
    <w:rsid w:val="00C45CB7"/>
    <w:rsid w:val="00C5073D"/>
    <w:rsid w:val="00C767A8"/>
    <w:rsid w:val="00CE3749"/>
    <w:rsid w:val="00CE4BA5"/>
    <w:rsid w:val="00D136C3"/>
    <w:rsid w:val="00D25CF8"/>
    <w:rsid w:val="00D536EC"/>
    <w:rsid w:val="00D5774E"/>
    <w:rsid w:val="00D61002"/>
    <w:rsid w:val="00D86C9C"/>
    <w:rsid w:val="00DA4B3E"/>
    <w:rsid w:val="00DD3D4C"/>
    <w:rsid w:val="00DD7ADA"/>
    <w:rsid w:val="00E17434"/>
    <w:rsid w:val="00E21A3A"/>
    <w:rsid w:val="00E41706"/>
    <w:rsid w:val="00E5502B"/>
    <w:rsid w:val="00E77E9C"/>
    <w:rsid w:val="00E80203"/>
    <w:rsid w:val="00E81ED5"/>
    <w:rsid w:val="00E82C64"/>
    <w:rsid w:val="00E95EDD"/>
    <w:rsid w:val="00EC251B"/>
    <w:rsid w:val="00EE5439"/>
    <w:rsid w:val="00EE7D90"/>
    <w:rsid w:val="00F0263C"/>
    <w:rsid w:val="00F077DD"/>
    <w:rsid w:val="00F10DA8"/>
    <w:rsid w:val="00F24AA1"/>
    <w:rsid w:val="00F3452C"/>
    <w:rsid w:val="00F57201"/>
    <w:rsid w:val="00F80536"/>
    <w:rsid w:val="00F83495"/>
    <w:rsid w:val="00F94C38"/>
    <w:rsid w:val="00FD7935"/>
    <w:rsid w:val="00FF5B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FBCA"/>
  <w15:docId w15:val="{6E1E9770-BCCF-44BE-A5DC-B1B15BC8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027E"/>
    <w:pPr>
      <w:ind w:left="720"/>
      <w:contextualSpacing/>
    </w:pPr>
  </w:style>
  <w:style w:type="character" w:styleId="Hipervnculo">
    <w:name w:val="Hyperlink"/>
    <w:basedOn w:val="Fuentedeprrafopredeter"/>
    <w:uiPriority w:val="99"/>
    <w:unhideWhenUsed/>
    <w:rsid w:val="00211BB6"/>
    <w:rPr>
      <w:color w:val="0563C1" w:themeColor="hyperlink"/>
      <w:u w:val="single"/>
    </w:rPr>
  </w:style>
  <w:style w:type="table" w:styleId="Tablaconcuadrcula">
    <w:name w:val="Table Grid"/>
    <w:basedOn w:val="Tablanormal"/>
    <w:uiPriority w:val="39"/>
    <w:rsid w:val="00D57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ED5"/>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952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2EC"/>
  </w:style>
  <w:style w:type="paragraph" w:styleId="Piedepgina">
    <w:name w:val="footer"/>
    <w:basedOn w:val="Normal"/>
    <w:link w:val="PiedepginaCar"/>
    <w:uiPriority w:val="99"/>
    <w:unhideWhenUsed/>
    <w:rsid w:val="008952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2EC"/>
  </w:style>
  <w:style w:type="paragraph" w:styleId="Textodeglobo">
    <w:name w:val="Balloon Text"/>
    <w:basedOn w:val="Normal"/>
    <w:link w:val="TextodegloboCar"/>
    <w:uiPriority w:val="99"/>
    <w:semiHidden/>
    <w:unhideWhenUsed/>
    <w:rsid w:val="006D6A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A02"/>
    <w:rPr>
      <w:rFonts w:ascii="Tahoma" w:hAnsi="Tahoma" w:cs="Tahoma"/>
      <w:sz w:val="16"/>
      <w:szCs w:val="16"/>
    </w:rPr>
  </w:style>
  <w:style w:type="character" w:styleId="Refdecomentario">
    <w:name w:val="annotation reference"/>
    <w:basedOn w:val="Fuentedeprrafopredeter"/>
    <w:uiPriority w:val="99"/>
    <w:semiHidden/>
    <w:unhideWhenUsed/>
    <w:rsid w:val="006D6A02"/>
    <w:rPr>
      <w:sz w:val="16"/>
      <w:szCs w:val="16"/>
    </w:rPr>
  </w:style>
  <w:style w:type="paragraph" w:styleId="Textocomentario">
    <w:name w:val="annotation text"/>
    <w:basedOn w:val="Normal"/>
    <w:link w:val="TextocomentarioCar"/>
    <w:uiPriority w:val="99"/>
    <w:semiHidden/>
    <w:unhideWhenUsed/>
    <w:rsid w:val="006D6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6A02"/>
    <w:rPr>
      <w:sz w:val="20"/>
      <w:szCs w:val="20"/>
    </w:rPr>
  </w:style>
  <w:style w:type="paragraph" w:styleId="Asuntodelcomentario">
    <w:name w:val="annotation subject"/>
    <w:basedOn w:val="Textocomentario"/>
    <w:next w:val="Textocomentario"/>
    <w:link w:val="AsuntodelcomentarioCar"/>
    <w:uiPriority w:val="99"/>
    <w:semiHidden/>
    <w:unhideWhenUsed/>
    <w:rsid w:val="006D6A02"/>
    <w:rPr>
      <w:b/>
      <w:bCs/>
    </w:rPr>
  </w:style>
  <w:style w:type="character" w:customStyle="1" w:styleId="AsuntodelcomentarioCar">
    <w:name w:val="Asunto del comentario Car"/>
    <w:basedOn w:val="TextocomentarioCar"/>
    <w:link w:val="Asuntodelcomentario"/>
    <w:uiPriority w:val="99"/>
    <w:semiHidden/>
    <w:rsid w:val="006D6A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07724">
      <w:bodyDiv w:val="1"/>
      <w:marLeft w:val="0"/>
      <w:marRight w:val="0"/>
      <w:marTop w:val="0"/>
      <w:marBottom w:val="0"/>
      <w:divBdr>
        <w:top w:val="none" w:sz="0" w:space="0" w:color="auto"/>
        <w:left w:val="none" w:sz="0" w:space="0" w:color="auto"/>
        <w:bottom w:val="none" w:sz="0" w:space="0" w:color="auto"/>
        <w:right w:val="none" w:sz="0" w:space="0" w:color="auto"/>
      </w:divBdr>
    </w:div>
    <w:div w:id="13761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adebolsa.com.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4757B-9496-4B59-96EC-471C122A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6</Pages>
  <Words>3977</Words>
  <Characters>21875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Romero Ortiz</dc:creator>
  <cp:lastModifiedBy>Maria Angela Romero Ortiz</cp:lastModifiedBy>
  <cp:revision>8</cp:revision>
  <cp:lastPrinted>2019-05-09T14:38:00Z</cp:lastPrinted>
  <dcterms:created xsi:type="dcterms:W3CDTF">2022-03-11T14:48:00Z</dcterms:created>
  <dcterms:modified xsi:type="dcterms:W3CDTF">2022-03-28T19:55:00Z</dcterms:modified>
</cp:coreProperties>
</file>